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3598"/>
        <w:gridCol w:w="3598"/>
        <w:gridCol w:w="3599"/>
      </w:tblGrid>
      <w:tr w:rsidR="00BB0B2D" w:rsidRPr="00952512" w14:paraId="67F663EB" w14:textId="77777777" w:rsidTr="00225694">
        <w:trPr>
          <w:trHeight w:val="431"/>
        </w:trPr>
        <w:tc>
          <w:tcPr>
            <w:tcW w:w="10795" w:type="dxa"/>
            <w:gridSpan w:val="3"/>
            <w:shd w:val="clear" w:color="auto" w:fill="D73F09"/>
            <w:vAlign w:val="center"/>
          </w:tcPr>
          <w:p w14:paraId="64CB57DB" w14:textId="77777777" w:rsidR="00BB0B2D" w:rsidRPr="00504184" w:rsidRDefault="00CB6E44" w:rsidP="00952512">
            <w:pPr>
              <w:widowControl w:val="0"/>
              <w:jc w:val="center"/>
              <w:rPr>
                <w:rFonts w:ascii="Stratum2 Regular" w:hAnsi="Stratum2 Regular" w:cs="Calibri"/>
                <w:b/>
                <w:bCs/>
                <w:sz w:val="24"/>
                <w:szCs w:val="24"/>
              </w:rPr>
            </w:pPr>
            <w:r w:rsidRPr="00225694">
              <w:rPr>
                <w:rFonts w:ascii="Stratum2 Regular" w:hAnsi="Stratum2 Regular" w:cs="Calibri"/>
                <w:b/>
                <w:bCs/>
                <w:sz w:val="36"/>
                <w:szCs w:val="20"/>
              </w:rPr>
              <w:t>Blueprint: 12-Course Education-to-Career Model</w:t>
            </w:r>
          </w:p>
        </w:tc>
      </w:tr>
      <w:tr w:rsidR="00923B53" w:rsidRPr="00952512" w14:paraId="5A05293A" w14:textId="77777777" w:rsidTr="003B6806">
        <w:trPr>
          <w:trHeight w:val="710"/>
        </w:trPr>
        <w:tc>
          <w:tcPr>
            <w:tcW w:w="10795" w:type="dxa"/>
            <w:gridSpan w:val="3"/>
            <w:shd w:val="clear" w:color="auto" w:fill="FBE4D5" w:themeFill="accent2" w:themeFillTint="33"/>
            <w:vAlign w:val="center"/>
          </w:tcPr>
          <w:p w14:paraId="2681BB8F" w14:textId="201E97BE" w:rsidR="00923B53" w:rsidRPr="008167DF" w:rsidRDefault="00923B53" w:rsidP="008167DF">
            <w:pPr>
              <w:jc w:val="center"/>
              <w:rPr>
                <w:rFonts w:ascii="Kievit Offc" w:hAnsi="Kievit Offc" w:cs="Calibri"/>
                <w:sz w:val="20"/>
                <w:szCs w:val="20"/>
              </w:rPr>
            </w:pPr>
            <w:r w:rsidRPr="00923B53">
              <w:rPr>
                <w:rFonts w:ascii="Kievit Offc" w:hAnsi="Kievit Offc" w:cs="Calibri"/>
                <w:sz w:val="18"/>
                <w:szCs w:val="20"/>
              </w:rPr>
              <w:t>A blueprint guides you forward; it’s a design to be followed. Blueprint is the College of Business Education</w:t>
            </w:r>
            <w:r w:rsidR="008C5B7B">
              <w:rPr>
                <w:rFonts w:ascii="Kievit Offc" w:hAnsi="Kievit Offc" w:cs="Calibri"/>
                <w:sz w:val="18"/>
                <w:szCs w:val="20"/>
              </w:rPr>
              <w:t>-</w:t>
            </w:r>
            <w:r w:rsidRPr="00923B53">
              <w:rPr>
                <w:rFonts w:ascii="Kievit Offc" w:hAnsi="Kievit Offc" w:cs="Calibri"/>
                <w:sz w:val="18"/>
                <w:szCs w:val="20"/>
              </w:rPr>
              <w:t>to</w:t>
            </w:r>
            <w:r w:rsidR="008C5B7B">
              <w:rPr>
                <w:rFonts w:ascii="Kievit Offc" w:hAnsi="Kievit Offc" w:cs="Calibri"/>
                <w:sz w:val="18"/>
                <w:szCs w:val="20"/>
              </w:rPr>
              <w:t>-</w:t>
            </w:r>
            <w:r w:rsidRPr="00923B53">
              <w:rPr>
                <w:rFonts w:ascii="Kievit Offc" w:hAnsi="Kievit Offc" w:cs="Calibri"/>
                <w:sz w:val="18"/>
                <w:szCs w:val="20"/>
              </w:rPr>
              <w:t>Career Model, a 12-course series that guides our students from campus to career.  In alignment with NACE career competencies and building upon key financial literacy outcomes, Blueprint pushes students to develop the essential skills needed to be successful in industry</w:t>
            </w:r>
            <w:r w:rsidR="00D74DE9">
              <w:rPr>
                <w:rFonts w:ascii="Kievit Offc" w:hAnsi="Kievit Offc" w:cs="Calibri"/>
                <w:sz w:val="18"/>
                <w:szCs w:val="20"/>
              </w:rPr>
              <w:t xml:space="preserve"> and life</w:t>
            </w:r>
            <w:r w:rsidRPr="00923B53">
              <w:rPr>
                <w:rFonts w:ascii="Kievit Offc" w:hAnsi="Kievit Offc" w:cs="Calibri"/>
                <w:sz w:val="18"/>
                <w:szCs w:val="20"/>
              </w:rPr>
              <w:t xml:space="preserve">. </w:t>
            </w:r>
          </w:p>
        </w:tc>
      </w:tr>
      <w:tr w:rsidR="007E5F54" w:rsidRPr="00952512" w14:paraId="384CD544" w14:textId="77777777" w:rsidTr="008850F0">
        <w:trPr>
          <w:trHeight w:val="350"/>
        </w:trPr>
        <w:tc>
          <w:tcPr>
            <w:tcW w:w="10795" w:type="dxa"/>
            <w:gridSpan w:val="3"/>
            <w:shd w:val="clear" w:color="auto" w:fill="E7E6E6" w:themeFill="background2"/>
            <w:vAlign w:val="center"/>
          </w:tcPr>
          <w:p w14:paraId="130B6C77" w14:textId="77777777" w:rsidR="007E5F54" w:rsidRPr="00952512" w:rsidRDefault="007E5F54" w:rsidP="00952512">
            <w:pPr>
              <w:widowControl w:val="0"/>
              <w:jc w:val="center"/>
              <w:rPr>
                <w:rFonts w:ascii="Kievit Offc" w:hAnsi="Kievit Offc" w:cs="Calibri"/>
                <w:b/>
                <w:bCs/>
                <w:sz w:val="20"/>
                <w:szCs w:val="20"/>
              </w:rPr>
            </w:pPr>
            <w:r w:rsidRPr="00952512">
              <w:rPr>
                <w:rFonts w:ascii="Kievit Offc" w:hAnsi="Kievit Offc" w:cs="Calibri"/>
                <w:b/>
                <w:bCs/>
                <w:sz w:val="20"/>
                <w:szCs w:val="20"/>
              </w:rPr>
              <w:t>First Year Experience (1YE)</w:t>
            </w:r>
          </w:p>
        </w:tc>
      </w:tr>
      <w:tr w:rsidR="008167DF" w:rsidRPr="00952512" w14:paraId="62041642" w14:textId="77777777" w:rsidTr="008167DF">
        <w:trPr>
          <w:trHeight w:val="420"/>
        </w:trPr>
        <w:tc>
          <w:tcPr>
            <w:tcW w:w="3598" w:type="dxa"/>
            <w:tcBorders>
              <w:top w:val="single" w:sz="12" w:space="0" w:color="auto"/>
              <w:left w:val="single" w:sz="12" w:space="0" w:color="auto"/>
              <w:bottom w:val="nil"/>
              <w:right w:val="single" w:sz="12" w:space="0" w:color="auto"/>
            </w:tcBorders>
            <w:shd w:val="clear" w:color="auto" w:fill="FFFFFF" w:themeFill="background1"/>
            <w:vAlign w:val="center"/>
          </w:tcPr>
          <w:p w14:paraId="3A7ADB4A" w14:textId="5F6AD4E3" w:rsidR="008167DF" w:rsidRPr="00952512"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BA160: B-Engaged</w:t>
            </w:r>
            <w:r w:rsidR="006F6F34">
              <w:rPr>
                <w:rFonts w:ascii="Kievit Offc" w:hAnsi="Kievit Offc" w:cs="Calibri"/>
                <w:b/>
                <w:bCs/>
                <w:sz w:val="20"/>
                <w:szCs w:val="20"/>
              </w:rPr>
              <w:t xml:space="preserve"> </w:t>
            </w:r>
            <w:r w:rsidR="006F6F34" w:rsidRPr="006F6F34">
              <w:rPr>
                <w:rFonts w:ascii="Kievit Offc" w:hAnsi="Kievit Offc" w:cs="Calibri"/>
                <w:i/>
                <w:iCs/>
                <w:sz w:val="20"/>
                <w:szCs w:val="20"/>
              </w:rPr>
              <w:t>(3 credits)</w:t>
            </w:r>
          </w:p>
        </w:tc>
        <w:tc>
          <w:tcPr>
            <w:tcW w:w="3598" w:type="dxa"/>
            <w:tcBorders>
              <w:top w:val="single" w:sz="12" w:space="0" w:color="auto"/>
              <w:left w:val="single" w:sz="12" w:space="0" w:color="auto"/>
              <w:bottom w:val="nil"/>
              <w:right w:val="single" w:sz="12" w:space="0" w:color="auto"/>
            </w:tcBorders>
            <w:shd w:val="clear" w:color="auto" w:fill="FFFFFF" w:themeFill="background1"/>
            <w:vAlign w:val="center"/>
          </w:tcPr>
          <w:p w14:paraId="163B7FCD" w14:textId="04C76252" w:rsidR="008167DF" w:rsidRPr="008167DF" w:rsidRDefault="008167DF" w:rsidP="008167DF">
            <w:pPr>
              <w:widowControl w:val="0"/>
              <w:jc w:val="center"/>
              <w:rPr>
                <w:rFonts w:ascii="Kievit Offc" w:hAnsi="Kievit Offc" w:cs="Calibri"/>
                <w:sz w:val="20"/>
                <w:szCs w:val="20"/>
              </w:rPr>
            </w:pPr>
            <w:r w:rsidRPr="003908C5">
              <w:rPr>
                <w:rFonts w:ascii="Kievit Offc" w:hAnsi="Kievit Offc" w:cs="Calibri"/>
                <w:b/>
                <w:bCs/>
                <w:sz w:val="20"/>
                <w:szCs w:val="20"/>
              </w:rPr>
              <w:t>BA161: Awareness to Action</w:t>
            </w:r>
            <w:r w:rsidR="006F6F34">
              <w:rPr>
                <w:rFonts w:ascii="Kievit Offc" w:hAnsi="Kievit Offc" w:cs="Calibri"/>
                <w:b/>
                <w:bCs/>
                <w:sz w:val="20"/>
                <w:szCs w:val="20"/>
              </w:rPr>
              <w:t xml:space="preserve"> </w:t>
            </w:r>
            <w:r w:rsidR="006F6F34" w:rsidRPr="006F6F34">
              <w:rPr>
                <w:rFonts w:ascii="Kievit Offc" w:hAnsi="Kievit Offc" w:cs="Calibri"/>
                <w:i/>
                <w:iCs/>
                <w:sz w:val="20"/>
                <w:szCs w:val="20"/>
              </w:rPr>
              <w:t>(3 credits)</w:t>
            </w:r>
          </w:p>
        </w:tc>
        <w:tc>
          <w:tcPr>
            <w:tcW w:w="3599" w:type="dxa"/>
            <w:tcBorders>
              <w:top w:val="single" w:sz="12" w:space="0" w:color="auto"/>
              <w:left w:val="single" w:sz="12" w:space="0" w:color="auto"/>
              <w:bottom w:val="nil"/>
              <w:right w:val="single" w:sz="12" w:space="0" w:color="auto"/>
            </w:tcBorders>
            <w:shd w:val="clear" w:color="auto" w:fill="FFFFFF" w:themeFill="background1"/>
            <w:vAlign w:val="center"/>
          </w:tcPr>
          <w:p w14:paraId="6ED7A5E4" w14:textId="3C11ACB1" w:rsidR="008167DF" w:rsidRPr="00952512"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BA</w:t>
            </w:r>
            <w:r>
              <w:rPr>
                <w:rFonts w:ascii="Kievit Offc" w:hAnsi="Kievit Offc" w:cs="Calibri"/>
                <w:b/>
                <w:bCs/>
                <w:sz w:val="20"/>
                <w:szCs w:val="20"/>
              </w:rPr>
              <w:t>1</w:t>
            </w:r>
            <w:r w:rsidRPr="003908C5">
              <w:rPr>
                <w:rFonts w:ascii="Kievit Offc" w:hAnsi="Kievit Offc" w:cs="Calibri"/>
                <w:b/>
                <w:bCs/>
                <w:sz w:val="20"/>
                <w:szCs w:val="20"/>
              </w:rPr>
              <w:t>62: Ideas to Reality</w:t>
            </w:r>
            <w:r w:rsidR="006F6F34">
              <w:rPr>
                <w:rFonts w:ascii="Kievit Offc" w:hAnsi="Kievit Offc" w:cs="Calibri"/>
                <w:b/>
                <w:bCs/>
                <w:sz w:val="20"/>
                <w:szCs w:val="20"/>
              </w:rPr>
              <w:t xml:space="preserve"> </w:t>
            </w:r>
            <w:r w:rsidR="006F6F34" w:rsidRPr="006F6F34">
              <w:rPr>
                <w:rFonts w:ascii="Kievit Offc" w:hAnsi="Kievit Offc" w:cs="Calibri"/>
                <w:i/>
                <w:iCs/>
                <w:sz w:val="20"/>
                <w:szCs w:val="20"/>
              </w:rPr>
              <w:t>(3 credits)</w:t>
            </w:r>
          </w:p>
        </w:tc>
      </w:tr>
      <w:tr w:rsidR="008167DF" w:rsidRPr="00952512" w14:paraId="595009AE" w14:textId="77777777" w:rsidTr="003B6806">
        <w:trPr>
          <w:trHeight w:val="1206"/>
        </w:trPr>
        <w:tc>
          <w:tcPr>
            <w:tcW w:w="3598" w:type="dxa"/>
            <w:tcBorders>
              <w:top w:val="nil"/>
              <w:left w:val="single" w:sz="12" w:space="0" w:color="auto"/>
              <w:bottom w:val="nil"/>
              <w:right w:val="single" w:sz="12" w:space="0" w:color="auto"/>
            </w:tcBorders>
            <w:shd w:val="clear" w:color="auto" w:fill="FFFFFF" w:themeFill="background1"/>
          </w:tcPr>
          <w:p w14:paraId="04E9E716" w14:textId="5D66F7A2"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learn how to transition to the OSU academic community and college learning expectations and the essential skills needed to be successful in their first year and beyond. </w:t>
            </w:r>
          </w:p>
        </w:tc>
        <w:tc>
          <w:tcPr>
            <w:tcW w:w="3598" w:type="dxa"/>
            <w:tcBorders>
              <w:top w:val="nil"/>
              <w:left w:val="single" w:sz="12" w:space="0" w:color="auto"/>
              <w:bottom w:val="nil"/>
              <w:right w:val="single" w:sz="12" w:space="0" w:color="auto"/>
            </w:tcBorders>
            <w:shd w:val="clear" w:color="auto" w:fill="FFFFFF" w:themeFill="background1"/>
          </w:tcPr>
          <w:p w14:paraId="1C52FC27" w14:textId="11524A65"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build a foundation of entrepreneurial knowledge and gain a competitive edge while becoming aware of their role in managing their career. </w:t>
            </w:r>
          </w:p>
        </w:tc>
        <w:tc>
          <w:tcPr>
            <w:tcW w:w="3599" w:type="dxa"/>
            <w:tcBorders>
              <w:top w:val="nil"/>
              <w:left w:val="single" w:sz="12" w:space="0" w:color="auto"/>
              <w:bottom w:val="nil"/>
              <w:right w:val="single" w:sz="12" w:space="0" w:color="auto"/>
            </w:tcBorders>
            <w:shd w:val="clear" w:color="auto" w:fill="FFFFFF" w:themeFill="background1"/>
          </w:tcPr>
          <w:p w14:paraId="4D41330B" w14:textId="11054D3E" w:rsidR="008167DF" w:rsidRPr="003B6806" w:rsidRDefault="008167DF" w:rsidP="008167DF">
            <w:pPr>
              <w:widowControl w:val="0"/>
              <w:rPr>
                <w:rFonts w:ascii="Kievit Offc" w:hAnsi="Kievit Offc" w:cs="Calibri"/>
                <w:sz w:val="19"/>
                <w:szCs w:val="19"/>
              </w:rPr>
            </w:pPr>
            <w:r w:rsidRPr="003B6806">
              <w:rPr>
                <w:rFonts w:ascii="Kievit Offc" w:hAnsi="Kievit Offc" w:cs="Calibri"/>
                <w:sz w:val="19"/>
                <w:szCs w:val="19"/>
              </w:rPr>
              <w:t xml:space="preserve">Students build a foundation of entrepreneurial knowledge and gain a competitive edge while becoming aware of their role in managing their career. </w:t>
            </w:r>
          </w:p>
        </w:tc>
      </w:tr>
      <w:tr w:rsidR="008167DF" w:rsidRPr="00952512" w14:paraId="30D3A0BE" w14:textId="77777777" w:rsidTr="003B6806">
        <w:trPr>
          <w:trHeight w:val="2529"/>
        </w:trPr>
        <w:tc>
          <w:tcPr>
            <w:tcW w:w="3598" w:type="dxa"/>
            <w:tcBorders>
              <w:top w:val="nil"/>
              <w:left w:val="single" w:sz="12" w:space="0" w:color="auto"/>
              <w:bottom w:val="nil"/>
              <w:right w:val="single" w:sz="12" w:space="0" w:color="auto"/>
            </w:tcBorders>
            <w:shd w:val="clear" w:color="auto" w:fill="FFFFFF" w:themeFill="background1"/>
          </w:tcPr>
          <w:p w14:paraId="3C2BC3E8" w14:textId="77777777" w:rsidR="008167DF" w:rsidRPr="003B6806" w:rsidRDefault="008167DF" w:rsidP="00BA05B2">
            <w:pPr>
              <w:contextualSpacing/>
              <w:rPr>
                <w:rFonts w:ascii="Kievit Offc" w:hAnsi="Kievit Offc" w:cs="Calibri"/>
                <w:sz w:val="19"/>
                <w:szCs w:val="19"/>
              </w:rPr>
            </w:pPr>
            <w:r w:rsidRPr="003B6806">
              <w:rPr>
                <w:rFonts w:ascii="Kievit Offc" w:hAnsi="Kievit Offc" w:cs="Calibri"/>
                <w:sz w:val="19"/>
                <w:szCs w:val="19"/>
              </w:rPr>
              <w:t>Students will:</w:t>
            </w:r>
            <w:r w:rsidRPr="003B6806">
              <w:rPr>
                <w:rFonts w:ascii="Kievit Offc" w:hAnsi="Kievit Offc" w:cs="Calibri"/>
                <w:color w:val="000000"/>
                <w:sz w:val="19"/>
                <w:szCs w:val="19"/>
              </w:rPr>
              <w:t xml:space="preserve"> </w:t>
            </w:r>
          </w:p>
          <w:p w14:paraId="76406238" w14:textId="43F71F89" w:rsidR="00BA05B2" w:rsidRPr="003B6806" w:rsidRDefault="00BA05B2" w:rsidP="00BA05B2">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Understand and explain challenges, necessary skills, and resources to become a successful </w:t>
            </w:r>
            <w:r w:rsidR="003B6806" w:rsidRPr="003B6806">
              <w:rPr>
                <w:rFonts w:ascii="Kievit Offc" w:hAnsi="Kievit Offc" w:cs="Arial"/>
                <w:bCs/>
                <w:sz w:val="19"/>
                <w:szCs w:val="19"/>
              </w:rPr>
              <w:t>1st</w:t>
            </w:r>
            <w:r w:rsidRPr="003B6806">
              <w:rPr>
                <w:rFonts w:ascii="Kievit Offc" w:hAnsi="Kievit Offc" w:cs="Arial"/>
                <w:bCs/>
                <w:sz w:val="19"/>
                <w:szCs w:val="19"/>
              </w:rPr>
              <w:t xml:space="preserve"> year </w:t>
            </w:r>
            <w:proofErr w:type="gramStart"/>
            <w:r w:rsidRPr="003B6806">
              <w:rPr>
                <w:rFonts w:ascii="Kievit Offc" w:hAnsi="Kievit Offc" w:cs="Arial"/>
                <w:bCs/>
                <w:sz w:val="19"/>
                <w:szCs w:val="19"/>
              </w:rPr>
              <w:t>student;</w:t>
            </w:r>
            <w:proofErr w:type="gramEnd"/>
          </w:p>
          <w:p w14:paraId="1F04FB67" w14:textId="1FF89997" w:rsidR="00BA05B2" w:rsidRPr="003B6806" w:rsidRDefault="00BA05B2" w:rsidP="00BA05B2">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Demonstrate skills necessary to succeed professionally and academically in the </w:t>
            </w:r>
            <w:proofErr w:type="gramStart"/>
            <w:r w:rsidRPr="003B6806">
              <w:rPr>
                <w:rFonts w:ascii="Kievit Offc" w:hAnsi="Kievit Offc" w:cs="Arial"/>
                <w:bCs/>
                <w:sz w:val="19"/>
                <w:szCs w:val="19"/>
              </w:rPr>
              <w:t>College;</w:t>
            </w:r>
            <w:proofErr w:type="gramEnd"/>
          </w:p>
          <w:p w14:paraId="1D2D580A" w14:textId="771444F2" w:rsidR="00BA05B2" w:rsidRPr="003B6806" w:rsidRDefault="00BA05B2" w:rsidP="00BA05B2">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Establish a sense of belonging at Oregon State University; and</w:t>
            </w:r>
          </w:p>
          <w:p w14:paraId="3524B2B4" w14:textId="5FA5F665" w:rsidR="008167DF" w:rsidRPr="003B6806" w:rsidRDefault="00BA05B2" w:rsidP="00BA05B2">
            <w:pPr>
              <w:pStyle w:val="ListParagraph"/>
              <w:numPr>
                <w:ilvl w:val="0"/>
                <w:numId w:val="17"/>
              </w:numPr>
              <w:ind w:left="152" w:hanging="180"/>
              <w:rPr>
                <w:rFonts w:ascii="Calibri" w:hAnsi="Calibri"/>
                <w:color w:val="000000"/>
                <w:sz w:val="19"/>
                <w:szCs w:val="19"/>
              </w:rPr>
            </w:pPr>
            <w:r w:rsidRPr="003B6806">
              <w:rPr>
                <w:rFonts w:ascii="Kievit Offc" w:hAnsi="Kievit Offc" w:cs="Arial"/>
                <w:bCs/>
                <w:sz w:val="19"/>
                <w:szCs w:val="19"/>
              </w:rPr>
              <w:t>Design and explore a path to a fulfilling academic career.</w:t>
            </w:r>
            <w:r w:rsidRPr="003B6806">
              <w:rPr>
                <w:rFonts w:ascii="Kievit Offc" w:hAnsi="Kievit Offc"/>
                <w:color w:val="000000"/>
                <w:sz w:val="19"/>
                <w:szCs w:val="19"/>
              </w:rPr>
              <w:t xml:space="preserve">  </w:t>
            </w:r>
          </w:p>
        </w:tc>
        <w:tc>
          <w:tcPr>
            <w:tcW w:w="3598" w:type="dxa"/>
            <w:tcBorders>
              <w:top w:val="nil"/>
              <w:left w:val="single" w:sz="12" w:space="0" w:color="auto"/>
              <w:bottom w:val="nil"/>
              <w:right w:val="single" w:sz="12" w:space="0" w:color="auto"/>
            </w:tcBorders>
            <w:shd w:val="clear" w:color="auto" w:fill="FFFFFF" w:themeFill="background1"/>
          </w:tcPr>
          <w:p w14:paraId="5E31F95C" w14:textId="77777777"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will: </w:t>
            </w:r>
          </w:p>
          <w:p w14:paraId="3E381E7B"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Explain key business activities and the primary concepts and terms associated with these </w:t>
            </w:r>
            <w:proofErr w:type="gramStart"/>
            <w:r w:rsidRPr="003B6806">
              <w:rPr>
                <w:rFonts w:ascii="Kievit Offc" w:hAnsi="Kievit Offc" w:cs="Arial"/>
                <w:bCs/>
                <w:sz w:val="19"/>
                <w:szCs w:val="19"/>
              </w:rPr>
              <w:t>activities;</w:t>
            </w:r>
            <w:proofErr w:type="gramEnd"/>
          </w:p>
          <w:p w14:paraId="4552319E"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Learn and utilize the process of iteration and prototyping in the creation of a team-based </w:t>
            </w:r>
            <w:proofErr w:type="gramStart"/>
            <w:r w:rsidRPr="003B6806">
              <w:rPr>
                <w:rFonts w:ascii="Kievit Offc" w:hAnsi="Kievit Offc" w:cs="Arial"/>
                <w:bCs/>
                <w:sz w:val="19"/>
                <w:szCs w:val="19"/>
              </w:rPr>
              <w:t>microenterprise;</w:t>
            </w:r>
            <w:proofErr w:type="gramEnd"/>
          </w:p>
          <w:p w14:paraId="5BE873B6" w14:textId="7A819758" w:rsidR="008167DF" w:rsidRPr="003B6806" w:rsidRDefault="008167DF" w:rsidP="008167DF">
            <w:pPr>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Explore current business news from different business disciplines. </w:t>
            </w:r>
          </w:p>
        </w:tc>
        <w:tc>
          <w:tcPr>
            <w:tcW w:w="3599" w:type="dxa"/>
            <w:tcBorders>
              <w:top w:val="nil"/>
              <w:left w:val="single" w:sz="12" w:space="0" w:color="auto"/>
              <w:bottom w:val="nil"/>
              <w:right w:val="single" w:sz="12" w:space="0" w:color="auto"/>
            </w:tcBorders>
            <w:shd w:val="clear" w:color="auto" w:fill="FFFFFF" w:themeFill="background1"/>
          </w:tcPr>
          <w:p w14:paraId="614DBE93" w14:textId="77777777" w:rsidR="008167DF" w:rsidRPr="003B6806" w:rsidRDefault="008167DF" w:rsidP="008167DF">
            <w:pPr>
              <w:widowControl w:val="0"/>
              <w:rPr>
                <w:rFonts w:ascii="Kievit Offc" w:hAnsi="Kievit Offc" w:cs="Calibri"/>
                <w:sz w:val="19"/>
                <w:szCs w:val="19"/>
              </w:rPr>
            </w:pPr>
            <w:r w:rsidRPr="003B6806">
              <w:rPr>
                <w:rFonts w:ascii="Kievit Offc" w:hAnsi="Kievit Offc" w:cs="Calibri"/>
                <w:sz w:val="19"/>
                <w:szCs w:val="19"/>
              </w:rPr>
              <w:t xml:space="preserve">Students will: </w:t>
            </w:r>
          </w:p>
          <w:p w14:paraId="2B13E7FF"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Work collaboratively on a micro-business or project using foundational business </w:t>
            </w:r>
            <w:proofErr w:type="gramStart"/>
            <w:r w:rsidRPr="003B6806">
              <w:rPr>
                <w:rFonts w:ascii="Kievit Offc" w:hAnsi="Kievit Offc" w:cs="Arial"/>
                <w:bCs/>
                <w:sz w:val="19"/>
                <w:szCs w:val="19"/>
              </w:rPr>
              <w:t>knowledge;</w:t>
            </w:r>
            <w:proofErr w:type="gramEnd"/>
          </w:p>
          <w:p w14:paraId="35B7F256"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Understand the processes and challenges of managing a team while running a microenterprise; and</w:t>
            </w:r>
          </w:p>
          <w:p w14:paraId="417F5932"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Design and explore a path to a fulfilling career by diving deep into a variety of key business activities. </w:t>
            </w:r>
          </w:p>
          <w:p w14:paraId="6E904C7F" w14:textId="191B25A1" w:rsidR="008167DF" w:rsidRPr="003B6806" w:rsidRDefault="008167DF" w:rsidP="008167DF">
            <w:pPr>
              <w:pStyle w:val="ListParagraph"/>
              <w:ind w:left="152"/>
              <w:rPr>
                <w:rFonts w:ascii="Kievit Offc" w:hAnsi="Kievit Offc" w:cs="Arial"/>
                <w:bCs/>
                <w:sz w:val="19"/>
                <w:szCs w:val="19"/>
              </w:rPr>
            </w:pPr>
          </w:p>
        </w:tc>
      </w:tr>
      <w:tr w:rsidR="008167DF" w:rsidRPr="00952512" w14:paraId="0F0CD54E" w14:textId="77777777" w:rsidTr="003B6806">
        <w:trPr>
          <w:trHeight w:val="144"/>
        </w:trPr>
        <w:tc>
          <w:tcPr>
            <w:tcW w:w="3598" w:type="dxa"/>
            <w:tcBorders>
              <w:top w:val="nil"/>
              <w:left w:val="single" w:sz="12" w:space="0" w:color="auto"/>
              <w:bottom w:val="single" w:sz="12" w:space="0" w:color="auto"/>
              <w:right w:val="single" w:sz="12" w:space="0" w:color="auto"/>
            </w:tcBorders>
            <w:shd w:val="clear" w:color="auto" w:fill="FFFFFF" w:themeFill="background1"/>
          </w:tcPr>
          <w:p w14:paraId="1AB21DC5" w14:textId="0C737A95" w:rsidR="008167DF" w:rsidRPr="003B6806" w:rsidRDefault="008167DF" w:rsidP="003B6806">
            <w:pPr>
              <w:widowControl w:val="0"/>
              <w:jc w:val="center"/>
              <w:rPr>
                <w:rFonts w:ascii="Kievit Offc" w:hAnsi="Kievit Offc" w:cs="Calibri"/>
                <w:b/>
                <w:bCs/>
                <w:sz w:val="19"/>
                <w:szCs w:val="19"/>
              </w:rPr>
            </w:pPr>
            <w:r w:rsidRPr="003B6806">
              <w:rPr>
                <w:rFonts w:ascii="Kievit Offc" w:hAnsi="Kievit Offc" w:cs="Calibri"/>
                <w:b/>
                <w:bCs/>
                <w:i/>
                <w:iCs/>
                <w:sz w:val="19"/>
                <w:szCs w:val="19"/>
              </w:rPr>
              <w:t>Welcome to OSU</w:t>
            </w:r>
            <w:r w:rsidR="00BA05B2" w:rsidRPr="003B6806">
              <w:rPr>
                <w:rFonts w:ascii="Kievit Offc" w:hAnsi="Kievit Offc" w:cs="Calibri"/>
                <w:b/>
                <w:bCs/>
                <w:i/>
                <w:iCs/>
                <w:sz w:val="19"/>
                <w:szCs w:val="19"/>
              </w:rPr>
              <w:t xml:space="preserve"> and</w:t>
            </w:r>
            <w:r w:rsidRPr="003B6806">
              <w:rPr>
                <w:rFonts w:ascii="Kievit Offc" w:hAnsi="Kievit Offc" w:cs="Calibri"/>
                <w:b/>
                <w:bCs/>
                <w:i/>
                <w:iCs/>
                <w:sz w:val="19"/>
                <w:szCs w:val="19"/>
              </w:rPr>
              <w:t xml:space="preserve"> the College</w:t>
            </w:r>
          </w:p>
        </w:tc>
        <w:tc>
          <w:tcPr>
            <w:tcW w:w="3598" w:type="dxa"/>
            <w:tcBorders>
              <w:top w:val="nil"/>
              <w:left w:val="single" w:sz="12" w:space="0" w:color="auto"/>
              <w:bottom w:val="single" w:sz="12" w:space="0" w:color="auto"/>
              <w:right w:val="single" w:sz="12" w:space="0" w:color="auto"/>
            </w:tcBorders>
            <w:shd w:val="clear" w:color="auto" w:fill="FFFFFF" w:themeFill="background1"/>
          </w:tcPr>
          <w:p w14:paraId="3E2CCA23" w14:textId="738623AF" w:rsidR="008167DF" w:rsidRPr="003B6806" w:rsidRDefault="008167DF" w:rsidP="008167DF">
            <w:pPr>
              <w:widowControl w:val="0"/>
              <w:jc w:val="center"/>
              <w:rPr>
                <w:rFonts w:ascii="Kievit Offc" w:hAnsi="Kievit Offc" w:cs="Calibri"/>
                <w:b/>
                <w:bCs/>
                <w:i/>
                <w:iCs/>
                <w:sz w:val="19"/>
                <w:szCs w:val="19"/>
              </w:rPr>
            </w:pPr>
            <w:r w:rsidRPr="003B6806">
              <w:rPr>
                <w:rFonts w:ascii="Kievit Offc" w:hAnsi="Kievit Offc" w:cs="Calibri"/>
                <w:b/>
                <w:bCs/>
                <w:i/>
                <w:iCs/>
                <w:sz w:val="19"/>
                <w:szCs w:val="19"/>
              </w:rPr>
              <w:t>Business Foundations</w:t>
            </w:r>
          </w:p>
        </w:tc>
        <w:tc>
          <w:tcPr>
            <w:tcW w:w="3599" w:type="dxa"/>
            <w:tcBorders>
              <w:top w:val="nil"/>
              <w:left w:val="single" w:sz="12" w:space="0" w:color="auto"/>
              <w:bottom w:val="single" w:sz="12" w:space="0" w:color="auto"/>
              <w:right w:val="single" w:sz="12" w:space="0" w:color="auto"/>
            </w:tcBorders>
            <w:shd w:val="clear" w:color="auto" w:fill="FFFFFF" w:themeFill="background1"/>
          </w:tcPr>
          <w:p w14:paraId="41CA758F" w14:textId="44AE7332" w:rsidR="008167DF" w:rsidRPr="003B6806" w:rsidRDefault="008167DF" w:rsidP="008167DF">
            <w:pPr>
              <w:widowControl w:val="0"/>
              <w:jc w:val="center"/>
              <w:rPr>
                <w:rFonts w:ascii="Kievit Offc" w:hAnsi="Kievit Offc" w:cs="Calibri"/>
                <w:b/>
                <w:bCs/>
                <w:i/>
                <w:iCs/>
                <w:sz w:val="19"/>
                <w:szCs w:val="19"/>
              </w:rPr>
            </w:pPr>
            <w:r w:rsidRPr="003B6806">
              <w:rPr>
                <w:rFonts w:ascii="Kievit Offc" w:hAnsi="Kievit Offc" w:cs="Calibri"/>
                <w:b/>
                <w:bCs/>
                <w:i/>
                <w:iCs/>
                <w:sz w:val="19"/>
                <w:szCs w:val="19"/>
              </w:rPr>
              <w:t>Running a Microenterprise</w:t>
            </w:r>
          </w:p>
        </w:tc>
      </w:tr>
      <w:tr w:rsidR="00BB0B2D" w:rsidRPr="003908C5" w14:paraId="1CF1478E" w14:textId="77777777" w:rsidTr="008167DF">
        <w:trPr>
          <w:trHeight w:val="368"/>
        </w:trPr>
        <w:tc>
          <w:tcPr>
            <w:tcW w:w="10795" w:type="dxa"/>
            <w:gridSpan w:val="3"/>
            <w:tcBorders>
              <w:bottom w:val="nil"/>
            </w:tcBorders>
            <w:shd w:val="clear" w:color="auto" w:fill="E7E6E6" w:themeFill="background2"/>
            <w:vAlign w:val="center"/>
          </w:tcPr>
          <w:p w14:paraId="4119FC4F" w14:textId="77777777" w:rsidR="00BB0B2D" w:rsidRPr="003908C5" w:rsidRDefault="00507D49" w:rsidP="0003727E">
            <w:pPr>
              <w:widowControl w:val="0"/>
              <w:jc w:val="center"/>
              <w:rPr>
                <w:rFonts w:ascii="Kievit Offc" w:hAnsi="Kievit Offc" w:cs="Calibri"/>
                <w:b/>
                <w:bCs/>
                <w:sz w:val="20"/>
                <w:szCs w:val="20"/>
              </w:rPr>
            </w:pPr>
            <w:r w:rsidRPr="003908C5">
              <w:rPr>
                <w:rFonts w:ascii="Kievit Offc" w:hAnsi="Kievit Offc" w:cs="Calibri"/>
                <w:b/>
                <w:bCs/>
                <w:sz w:val="20"/>
                <w:szCs w:val="20"/>
              </w:rPr>
              <w:t>Second Year Experience (2YE)</w:t>
            </w:r>
          </w:p>
        </w:tc>
      </w:tr>
      <w:tr w:rsidR="008167DF" w:rsidRPr="003908C5" w14:paraId="667CE177" w14:textId="77777777" w:rsidTr="008167DF">
        <w:trPr>
          <w:trHeight w:val="674"/>
        </w:trPr>
        <w:tc>
          <w:tcPr>
            <w:tcW w:w="3598" w:type="dxa"/>
            <w:tcBorders>
              <w:top w:val="single" w:sz="12" w:space="0" w:color="auto"/>
              <w:left w:val="single" w:sz="12" w:space="0" w:color="auto"/>
              <w:bottom w:val="nil"/>
              <w:right w:val="single" w:sz="12" w:space="0" w:color="auto"/>
            </w:tcBorders>
            <w:shd w:val="clear" w:color="auto" w:fill="FFFFFF" w:themeFill="background1"/>
            <w:vAlign w:val="center"/>
          </w:tcPr>
          <w:p w14:paraId="21BC141A" w14:textId="77777777" w:rsidR="00225694"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B</w:t>
            </w:r>
            <w:r>
              <w:rPr>
                <w:rFonts w:ascii="Kievit Offc" w:hAnsi="Kievit Offc" w:cs="Calibri"/>
                <w:b/>
                <w:bCs/>
                <w:sz w:val="20"/>
                <w:szCs w:val="20"/>
              </w:rPr>
              <w:t>A</w:t>
            </w:r>
            <w:r w:rsidRPr="003908C5">
              <w:rPr>
                <w:rFonts w:ascii="Kievit Offc" w:hAnsi="Kievit Offc" w:cs="Calibri"/>
                <w:b/>
                <w:bCs/>
                <w:sz w:val="20"/>
                <w:szCs w:val="20"/>
              </w:rPr>
              <w:t xml:space="preserve">282: Drafting Your </w:t>
            </w:r>
          </w:p>
          <w:p w14:paraId="38EE4B3B" w14:textId="4EA772FE" w:rsidR="008167DF" w:rsidRPr="006F6F34" w:rsidRDefault="008167DF" w:rsidP="008167DF">
            <w:pPr>
              <w:widowControl w:val="0"/>
              <w:jc w:val="center"/>
              <w:rPr>
                <w:rFonts w:ascii="Kievit Offc" w:hAnsi="Kievit Offc" w:cs="Calibri"/>
                <w:i/>
                <w:iCs/>
                <w:sz w:val="20"/>
                <w:szCs w:val="20"/>
              </w:rPr>
            </w:pPr>
            <w:r w:rsidRPr="003908C5">
              <w:rPr>
                <w:rFonts w:ascii="Kievit Offc" w:hAnsi="Kievit Offc" w:cs="Calibri"/>
                <w:b/>
                <w:bCs/>
                <w:sz w:val="20"/>
                <w:szCs w:val="20"/>
              </w:rPr>
              <w:t>Career Blueprint</w:t>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c>
          <w:tcPr>
            <w:tcW w:w="3598" w:type="dxa"/>
            <w:tcBorders>
              <w:top w:val="single" w:sz="12" w:space="0" w:color="auto"/>
              <w:left w:val="single" w:sz="12" w:space="0" w:color="auto"/>
              <w:bottom w:val="nil"/>
              <w:right w:val="single" w:sz="12" w:space="0" w:color="auto"/>
            </w:tcBorders>
            <w:shd w:val="clear" w:color="auto" w:fill="FFFFFF" w:themeFill="background1"/>
            <w:vAlign w:val="center"/>
          </w:tcPr>
          <w:p w14:paraId="2A7EF82D" w14:textId="77777777" w:rsidR="00225694"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 xml:space="preserve">BA283: Creativity, Culture, </w:t>
            </w:r>
          </w:p>
          <w:p w14:paraId="28C8ED21" w14:textId="61FF5B8D" w:rsidR="008167DF" w:rsidRPr="003908C5"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and the Workplace</w:t>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c>
          <w:tcPr>
            <w:tcW w:w="3599" w:type="dxa"/>
            <w:tcBorders>
              <w:top w:val="single" w:sz="12" w:space="0" w:color="auto"/>
              <w:left w:val="single" w:sz="12" w:space="0" w:color="auto"/>
              <w:bottom w:val="nil"/>
              <w:right w:val="single" w:sz="12" w:space="0" w:color="auto"/>
            </w:tcBorders>
            <w:shd w:val="clear" w:color="auto" w:fill="FFFFFF" w:themeFill="background1"/>
            <w:vAlign w:val="center"/>
          </w:tcPr>
          <w:p w14:paraId="7888C147" w14:textId="77777777" w:rsidR="00225694"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 xml:space="preserve">BA284: Foundations of </w:t>
            </w:r>
          </w:p>
          <w:p w14:paraId="1B27F208" w14:textId="63224243" w:rsidR="008167DF" w:rsidRPr="003908C5" w:rsidRDefault="008167DF" w:rsidP="008167DF">
            <w:pPr>
              <w:widowControl w:val="0"/>
              <w:jc w:val="center"/>
              <w:rPr>
                <w:rFonts w:ascii="Kievit Offc" w:hAnsi="Kievit Offc" w:cs="Calibri"/>
                <w:b/>
                <w:bCs/>
                <w:sz w:val="20"/>
                <w:szCs w:val="20"/>
              </w:rPr>
            </w:pPr>
            <w:r w:rsidRPr="003908C5">
              <w:rPr>
                <w:rFonts w:ascii="Kievit Offc" w:hAnsi="Kievit Offc" w:cs="Calibri"/>
                <w:b/>
                <w:bCs/>
                <w:sz w:val="20"/>
                <w:szCs w:val="20"/>
              </w:rPr>
              <w:t>Personal Finance I</w:t>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r>
      <w:tr w:rsidR="008167DF" w:rsidRPr="003908C5" w14:paraId="12892386" w14:textId="77777777" w:rsidTr="003B6806">
        <w:trPr>
          <w:trHeight w:val="1188"/>
        </w:trPr>
        <w:tc>
          <w:tcPr>
            <w:tcW w:w="3598" w:type="dxa"/>
            <w:tcBorders>
              <w:top w:val="nil"/>
              <w:left w:val="single" w:sz="12" w:space="0" w:color="auto"/>
              <w:bottom w:val="nil"/>
              <w:right w:val="single" w:sz="12" w:space="0" w:color="auto"/>
            </w:tcBorders>
            <w:shd w:val="clear" w:color="auto" w:fill="FFFFFF" w:themeFill="background1"/>
          </w:tcPr>
          <w:p w14:paraId="0A40890C" w14:textId="3587F94B"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explore opportunities within their majors and future career paths, while also learning about their own strengths and </w:t>
            </w:r>
            <w:proofErr w:type="gramStart"/>
            <w:r w:rsidRPr="003B6806">
              <w:rPr>
                <w:rFonts w:ascii="Kievit Offc" w:hAnsi="Kievit Offc" w:cs="Calibri"/>
                <w:sz w:val="19"/>
                <w:szCs w:val="19"/>
              </w:rPr>
              <w:t>making a plan</w:t>
            </w:r>
            <w:proofErr w:type="gramEnd"/>
            <w:r w:rsidRPr="003B6806">
              <w:rPr>
                <w:rFonts w:ascii="Kievit Offc" w:hAnsi="Kievit Offc" w:cs="Calibri"/>
                <w:sz w:val="19"/>
                <w:szCs w:val="19"/>
              </w:rPr>
              <w:t xml:space="preserve"> for growing their skillsets in the future. </w:t>
            </w:r>
          </w:p>
        </w:tc>
        <w:tc>
          <w:tcPr>
            <w:tcW w:w="3598" w:type="dxa"/>
            <w:tcBorders>
              <w:top w:val="nil"/>
              <w:left w:val="single" w:sz="12" w:space="0" w:color="auto"/>
              <w:bottom w:val="nil"/>
              <w:right w:val="single" w:sz="12" w:space="0" w:color="auto"/>
            </w:tcBorders>
            <w:shd w:val="clear" w:color="auto" w:fill="FFFFFF" w:themeFill="background1"/>
          </w:tcPr>
          <w:p w14:paraId="68D64E33" w14:textId="5CAAD8BE"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explore the importance of a company’s culture, the power that diversity brings to a team, and how individuals’ own unique stories can contribute to an organization’s success. </w:t>
            </w:r>
          </w:p>
        </w:tc>
        <w:tc>
          <w:tcPr>
            <w:tcW w:w="3599" w:type="dxa"/>
            <w:tcBorders>
              <w:top w:val="nil"/>
              <w:left w:val="single" w:sz="12" w:space="0" w:color="auto"/>
              <w:bottom w:val="nil"/>
              <w:right w:val="single" w:sz="12" w:space="0" w:color="auto"/>
            </w:tcBorders>
            <w:shd w:val="clear" w:color="auto" w:fill="FFFFFF" w:themeFill="background1"/>
          </w:tcPr>
          <w:p w14:paraId="5F7E7CDD" w14:textId="0973B063" w:rsidR="008167DF" w:rsidRPr="003B6806" w:rsidRDefault="008167DF" w:rsidP="008167DF">
            <w:pPr>
              <w:rPr>
                <w:rFonts w:ascii="Kievit Offc" w:hAnsi="Kievit Offc" w:cs="Calibri"/>
                <w:i/>
                <w:sz w:val="19"/>
                <w:szCs w:val="19"/>
              </w:rPr>
            </w:pPr>
            <w:r w:rsidRPr="003B6806">
              <w:rPr>
                <w:rFonts w:ascii="Kievit Offc" w:hAnsi="Kievit Offc" w:cs="Calibri"/>
                <w:sz w:val="19"/>
                <w:szCs w:val="19"/>
              </w:rPr>
              <w:t xml:space="preserve">Students learn the basics of personal finance and explore financial resources relevant to college life. </w:t>
            </w:r>
          </w:p>
        </w:tc>
      </w:tr>
      <w:tr w:rsidR="008167DF" w:rsidRPr="003908C5" w14:paraId="3C93BA30" w14:textId="77777777" w:rsidTr="003B6806">
        <w:trPr>
          <w:trHeight w:val="4509"/>
        </w:trPr>
        <w:tc>
          <w:tcPr>
            <w:tcW w:w="3598" w:type="dxa"/>
            <w:tcBorders>
              <w:top w:val="nil"/>
              <w:left w:val="single" w:sz="12" w:space="0" w:color="auto"/>
              <w:bottom w:val="nil"/>
              <w:right w:val="single" w:sz="12" w:space="0" w:color="auto"/>
            </w:tcBorders>
            <w:shd w:val="clear" w:color="auto" w:fill="FFFFFF" w:themeFill="background1"/>
          </w:tcPr>
          <w:p w14:paraId="4FFECF4A" w14:textId="2B5C3F64" w:rsidR="008167DF" w:rsidRPr="003B6806" w:rsidRDefault="008167DF" w:rsidP="008167DF">
            <w:pPr>
              <w:rPr>
                <w:rFonts w:ascii="Kievit Offc" w:hAnsi="Kievit Offc" w:cs="Calibri"/>
                <w:i/>
                <w:sz w:val="19"/>
                <w:szCs w:val="19"/>
              </w:rPr>
            </w:pPr>
            <w:r w:rsidRPr="003B6806">
              <w:rPr>
                <w:rFonts w:ascii="Kievit Offc" w:hAnsi="Kievit Offc" w:cs="Calibri"/>
                <w:sz w:val="19"/>
                <w:szCs w:val="19"/>
              </w:rPr>
              <w:t>Students will:</w:t>
            </w:r>
          </w:p>
          <w:p w14:paraId="16230A2F" w14:textId="3822BEA1" w:rsidR="00240803" w:rsidRPr="003B6806" w:rsidRDefault="00240803" w:rsidP="00240803">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Identify and articulate one’s skills, strengths, knowledge, </w:t>
            </w:r>
            <w:r w:rsidR="003B6806" w:rsidRPr="003B6806">
              <w:rPr>
                <w:rFonts w:ascii="Kievit Offc" w:hAnsi="Kievit Offc" w:cs="Arial"/>
                <w:bCs/>
                <w:sz w:val="19"/>
                <w:szCs w:val="19"/>
              </w:rPr>
              <w:t xml:space="preserve">&amp; </w:t>
            </w:r>
            <w:r w:rsidRPr="003B6806">
              <w:rPr>
                <w:rFonts w:ascii="Kievit Offc" w:hAnsi="Kievit Offc" w:cs="Arial"/>
                <w:bCs/>
                <w:sz w:val="19"/>
                <w:szCs w:val="19"/>
              </w:rPr>
              <w:t xml:space="preserve">experiences relevant to one’s career </w:t>
            </w:r>
            <w:proofErr w:type="gramStart"/>
            <w:r w:rsidRPr="003B6806">
              <w:rPr>
                <w:rFonts w:ascii="Kievit Offc" w:hAnsi="Kievit Offc" w:cs="Arial"/>
                <w:bCs/>
                <w:sz w:val="19"/>
                <w:szCs w:val="19"/>
              </w:rPr>
              <w:t>goals;</w:t>
            </w:r>
            <w:proofErr w:type="gramEnd"/>
          </w:p>
          <w:p w14:paraId="7D632837" w14:textId="25D76834"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Explore career paths related to one’s major and analyze each for personal interest and </w:t>
            </w:r>
            <w:proofErr w:type="gramStart"/>
            <w:r w:rsidRPr="003B6806">
              <w:rPr>
                <w:rFonts w:ascii="Kievit Offc" w:hAnsi="Kievit Offc" w:cs="Arial"/>
                <w:bCs/>
                <w:sz w:val="19"/>
                <w:szCs w:val="19"/>
              </w:rPr>
              <w:t>fit;</w:t>
            </w:r>
            <w:proofErr w:type="gramEnd"/>
            <w:r w:rsidRPr="003B6806">
              <w:rPr>
                <w:rFonts w:ascii="Kievit Offc" w:hAnsi="Kievit Offc" w:cs="Arial"/>
                <w:bCs/>
                <w:sz w:val="19"/>
                <w:szCs w:val="19"/>
              </w:rPr>
              <w:t xml:space="preserve"> </w:t>
            </w:r>
          </w:p>
          <w:p w14:paraId="1692FFB8"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Identify areas for personal and professional growth based on one’s career aspirations; and</w:t>
            </w:r>
          </w:p>
          <w:p w14:paraId="3896BC4C" w14:textId="348FEA83"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Create a plan for developing oneself personally and professionally. </w:t>
            </w:r>
          </w:p>
        </w:tc>
        <w:tc>
          <w:tcPr>
            <w:tcW w:w="3598" w:type="dxa"/>
            <w:tcBorders>
              <w:top w:val="nil"/>
              <w:left w:val="single" w:sz="12" w:space="0" w:color="auto"/>
              <w:bottom w:val="nil"/>
              <w:right w:val="single" w:sz="12" w:space="0" w:color="auto"/>
            </w:tcBorders>
            <w:shd w:val="clear" w:color="auto" w:fill="FFFFFF" w:themeFill="background1"/>
          </w:tcPr>
          <w:p w14:paraId="1DFE48B6" w14:textId="77777777" w:rsidR="008167DF" w:rsidRPr="003B6806" w:rsidRDefault="008167DF" w:rsidP="008167DF">
            <w:pPr>
              <w:rPr>
                <w:rFonts w:ascii="Kievit Offc" w:hAnsi="Kievit Offc" w:cs="Calibri"/>
                <w:i/>
                <w:sz w:val="19"/>
                <w:szCs w:val="19"/>
              </w:rPr>
            </w:pPr>
            <w:r w:rsidRPr="003B6806">
              <w:rPr>
                <w:rFonts w:ascii="Kievit Offc" w:hAnsi="Kievit Offc" w:cs="Calibri"/>
                <w:sz w:val="19"/>
                <w:szCs w:val="19"/>
              </w:rPr>
              <w:t>Students will:</w:t>
            </w:r>
          </w:p>
          <w:p w14:paraId="553BDD0C"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Understand the importance of accepting responsibility for one’s own emotions, decisions, actions, and work </w:t>
            </w:r>
            <w:proofErr w:type="gramStart"/>
            <w:r w:rsidRPr="003B6806">
              <w:rPr>
                <w:rFonts w:ascii="Kievit Offc" w:hAnsi="Kievit Offc" w:cs="Arial"/>
                <w:bCs/>
                <w:sz w:val="19"/>
                <w:szCs w:val="19"/>
              </w:rPr>
              <w:t>outcomes;</w:t>
            </w:r>
            <w:proofErr w:type="gramEnd"/>
          </w:p>
          <w:p w14:paraId="749BE887"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Discuss the importance of and strategies for building collaborative relationships with colleagues and customers representing diverse backgrounds and </w:t>
            </w:r>
            <w:proofErr w:type="gramStart"/>
            <w:r w:rsidRPr="003B6806">
              <w:rPr>
                <w:rFonts w:ascii="Kievit Offc" w:hAnsi="Kievit Offc" w:cs="Arial"/>
                <w:bCs/>
                <w:sz w:val="19"/>
                <w:szCs w:val="19"/>
              </w:rPr>
              <w:t>viewpoints;</w:t>
            </w:r>
            <w:proofErr w:type="gramEnd"/>
          </w:p>
          <w:p w14:paraId="1C3474B6" w14:textId="77777777" w:rsidR="003B6806" w:rsidRPr="003B6806" w:rsidRDefault="003B6806"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Cultivate the ability to anticipate the needs of audiences from diverse backgrounds and communicate effectively with </w:t>
            </w:r>
            <w:proofErr w:type="gramStart"/>
            <w:r w:rsidRPr="003B6806">
              <w:rPr>
                <w:rFonts w:ascii="Kievit Offc" w:hAnsi="Kievit Offc" w:cs="Arial"/>
                <w:bCs/>
                <w:sz w:val="19"/>
                <w:szCs w:val="19"/>
              </w:rPr>
              <w:t>them;</w:t>
            </w:r>
            <w:proofErr w:type="gramEnd"/>
          </w:p>
          <w:p w14:paraId="4AE89C96"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Times New Roman" w:eastAsia="Times New Roman" w:hAnsi="Times New Roman" w:cs="Times New Roman"/>
                <w:color w:val="000000"/>
                <w:sz w:val="19"/>
                <w:szCs w:val="19"/>
              </w:rPr>
            </w:pPr>
            <w:r w:rsidRPr="003B6806">
              <w:rPr>
                <w:rFonts w:ascii="Kievit Offc" w:hAnsi="Kievit Offc" w:cs="Arial"/>
                <w:bCs/>
                <w:sz w:val="19"/>
                <w:szCs w:val="19"/>
              </w:rPr>
              <w:t>Demonstrate effective strategies of handling different types of difficult conversations; and</w:t>
            </w:r>
          </w:p>
          <w:p w14:paraId="09C28DA6" w14:textId="6CD88EBB" w:rsidR="008167DF" w:rsidRPr="003B6806" w:rsidRDefault="003B6806" w:rsidP="003B6806">
            <w:pPr>
              <w:pStyle w:val="ListParagraph"/>
              <w:numPr>
                <w:ilvl w:val="0"/>
                <w:numId w:val="17"/>
              </w:numPr>
              <w:pBdr>
                <w:top w:val="nil"/>
                <w:left w:val="nil"/>
                <w:bottom w:val="nil"/>
                <w:right w:val="nil"/>
                <w:between w:val="nil"/>
              </w:pBdr>
              <w:ind w:left="152" w:hanging="180"/>
              <w:rPr>
                <w:rFonts w:ascii="Times New Roman" w:eastAsia="Times New Roman" w:hAnsi="Times New Roman" w:cs="Times New Roman"/>
                <w:color w:val="000000"/>
                <w:sz w:val="19"/>
                <w:szCs w:val="19"/>
              </w:rPr>
            </w:pPr>
            <w:r w:rsidRPr="003B6806">
              <w:rPr>
                <w:rFonts w:ascii="Kievit Offc" w:hAnsi="Kievit Offc" w:cs="Arial"/>
                <w:bCs/>
                <w:sz w:val="19"/>
                <w:szCs w:val="19"/>
              </w:rPr>
              <w:t>Identify and apply best practices for giving and receiving feedback.</w:t>
            </w:r>
          </w:p>
        </w:tc>
        <w:tc>
          <w:tcPr>
            <w:tcW w:w="3599" w:type="dxa"/>
            <w:tcBorders>
              <w:top w:val="nil"/>
              <w:left w:val="single" w:sz="12" w:space="0" w:color="auto"/>
              <w:bottom w:val="nil"/>
              <w:right w:val="single" w:sz="12" w:space="0" w:color="auto"/>
            </w:tcBorders>
            <w:shd w:val="clear" w:color="auto" w:fill="FFFFFF" w:themeFill="background1"/>
          </w:tcPr>
          <w:p w14:paraId="25785DD5" w14:textId="77777777" w:rsidR="008167DF" w:rsidRPr="003B6806" w:rsidRDefault="008167DF" w:rsidP="008167DF">
            <w:pPr>
              <w:rPr>
                <w:rFonts w:ascii="Kievit Offc" w:hAnsi="Kievit Offc" w:cs="Calibri"/>
                <w:sz w:val="19"/>
                <w:szCs w:val="19"/>
              </w:rPr>
            </w:pPr>
            <w:r w:rsidRPr="003B6806">
              <w:rPr>
                <w:rFonts w:ascii="Kievit Offc" w:hAnsi="Kievit Offc" w:cs="Calibri"/>
                <w:sz w:val="19"/>
                <w:szCs w:val="19"/>
              </w:rPr>
              <w:t xml:space="preserve">Students will: </w:t>
            </w:r>
          </w:p>
          <w:p w14:paraId="59E15EC2" w14:textId="6418C632"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Exercise sound reasoning in analyzing one’s personal financial situation and setting financial </w:t>
            </w:r>
            <w:proofErr w:type="gramStart"/>
            <w:r w:rsidRPr="003B6806">
              <w:rPr>
                <w:rFonts w:ascii="Kievit Offc" w:hAnsi="Kievit Offc" w:cs="Arial"/>
                <w:bCs/>
                <w:sz w:val="19"/>
                <w:szCs w:val="19"/>
              </w:rPr>
              <w:t>goals;</w:t>
            </w:r>
            <w:proofErr w:type="gramEnd"/>
          </w:p>
          <w:p w14:paraId="35FD196F" w14:textId="77777777" w:rsidR="008167DF" w:rsidRPr="003B6806" w:rsidRDefault="008167DF" w:rsidP="008167DF">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Develop an educational plan for successfully achieving one’s personal and professional goals; and</w:t>
            </w:r>
          </w:p>
          <w:p w14:paraId="32247B1C" w14:textId="6C363FEB" w:rsidR="008167DF" w:rsidRPr="003B6806" w:rsidRDefault="008167DF"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Engage in strategies for achieving personal financial goals, including the practice of budgeting.</w:t>
            </w:r>
          </w:p>
        </w:tc>
      </w:tr>
      <w:tr w:rsidR="008167DF" w:rsidRPr="003908C5" w14:paraId="501A0C6E" w14:textId="77777777" w:rsidTr="00240803">
        <w:trPr>
          <w:trHeight w:val="341"/>
        </w:trPr>
        <w:tc>
          <w:tcPr>
            <w:tcW w:w="3598" w:type="dxa"/>
            <w:tcBorders>
              <w:top w:val="nil"/>
              <w:left w:val="single" w:sz="12" w:space="0" w:color="auto"/>
              <w:bottom w:val="single" w:sz="4" w:space="0" w:color="auto"/>
              <w:right w:val="single" w:sz="12" w:space="0" w:color="auto"/>
            </w:tcBorders>
            <w:shd w:val="clear" w:color="auto" w:fill="FFFFFF" w:themeFill="background1"/>
            <w:vAlign w:val="center"/>
          </w:tcPr>
          <w:p w14:paraId="01CB098A" w14:textId="3148A09A" w:rsidR="008167DF" w:rsidRPr="003B6806" w:rsidRDefault="008167DF" w:rsidP="008167DF">
            <w:pPr>
              <w:widowControl w:val="0"/>
              <w:jc w:val="center"/>
              <w:rPr>
                <w:rFonts w:ascii="Kievit Offc" w:hAnsi="Kievit Offc" w:cs="Calibri"/>
                <w:b/>
                <w:bCs/>
                <w:i/>
                <w:iCs/>
                <w:sz w:val="19"/>
                <w:szCs w:val="19"/>
              </w:rPr>
            </w:pPr>
            <w:r w:rsidRPr="003B6806">
              <w:rPr>
                <w:rFonts w:ascii="Kievit Offc" w:hAnsi="Kievit Offc" w:cs="Calibri"/>
                <w:b/>
                <w:bCs/>
                <w:i/>
                <w:iCs/>
                <w:sz w:val="19"/>
                <w:szCs w:val="19"/>
              </w:rPr>
              <w:t xml:space="preserve">Career Exploration, </w:t>
            </w:r>
            <w:r w:rsidR="00D77A03" w:rsidRPr="003B6806">
              <w:rPr>
                <w:rFonts w:ascii="Kievit Offc" w:hAnsi="Kievit Offc" w:cs="Calibri"/>
                <w:b/>
                <w:bCs/>
                <w:i/>
                <w:iCs/>
                <w:sz w:val="19"/>
                <w:szCs w:val="19"/>
              </w:rPr>
              <w:t>Resumes, Interviewing</w:t>
            </w:r>
          </w:p>
        </w:tc>
        <w:tc>
          <w:tcPr>
            <w:tcW w:w="3598" w:type="dxa"/>
            <w:tcBorders>
              <w:top w:val="nil"/>
              <w:left w:val="single" w:sz="12" w:space="0" w:color="auto"/>
              <w:bottom w:val="single" w:sz="4" w:space="0" w:color="auto"/>
              <w:right w:val="single" w:sz="12" w:space="0" w:color="auto"/>
            </w:tcBorders>
            <w:shd w:val="clear" w:color="auto" w:fill="FFFFFF" w:themeFill="background1"/>
            <w:vAlign w:val="center"/>
          </w:tcPr>
          <w:p w14:paraId="6539A3E9" w14:textId="422405B4" w:rsidR="008167DF" w:rsidRPr="003B6806" w:rsidRDefault="008167DF" w:rsidP="008167DF">
            <w:pPr>
              <w:widowControl w:val="0"/>
              <w:jc w:val="center"/>
              <w:rPr>
                <w:rFonts w:ascii="Kievit Offc" w:hAnsi="Kievit Offc" w:cs="Calibri"/>
                <w:sz w:val="19"/>
                <w:szCs w:val="19"/>
              </w:rPr>
            </w:pPr>
            <w:r w:rsidRPr="003B6806">
              <w:rPr>
                <w:rFonts w:ascii="Kievit Offc" w:hAnsi="Kievit Offc" w:cs="Calibri"/>
                <w:b/>
                <w:bCs/>
                <w:i/>
                <w:iCs/>
                <w:sz w:val="19"/>
                <w:szCs w:val="19"/>
              </w:rPr>
              <w:t>Storytelling and Case Studies on Co</w:t>
            </w:r>
            <w:r w:rsidR="00BA05B2" w:rsidRPr="003B6806">
              <w:rPr>
                <w:rFonts w:ascii="Kievit Offc" w:hAnsi="Kievit Offc" w:cs="Calibri"/>
                <w:b/>
                <w:bCs/>
                <w:i/>
                <w:iCs/>
                <w:sz w:val="19"/>
                <w:szCs w:val="19"/>
              </w:rPr>
              <w:t>rporate</w:t>
            </w:r>
            <w:r w:rsidRPr="003B6806">
              <w:rPr>
                <w:rFonts w:ascii="Kievit Offc" w:hAnsi="Kievit Offc" w:cs="Calibri"/>
                <w:b/>
                <w:bCs/>
                <w:i/>
                <w:iCs/>
                <w:sz w:val="19"/>
                <w:szCs w:val="19"/>
              </w:rPr>
              <w:t xml:space="preserve"> Culture</w:t>
            </w:r>
          </w:p>
        </w:tc>
        <w:tc>
          <w:tcPr>
            <w:tcW w:w="3599" w:type="dxa"/>
            <w:tcBorders>
              <w:top w:val="nil"/>
              <w:left w:val="single" w:sz="12" w:space="0" w:color="auto"/>
              <w:bottom w:val="single" w:sz="4" w:space="0" w:color="auto"/>
              <w:right w:val="single" w:sz="12" w:space="0" w:color="auto"/>
            </w:tcBorders>
            <w:shd w:val="clear" w:color="auto" w:fill="FFFFFF" w:themeFill="background1"/>
            <w:vAlign w:val="center"/>
          </w:tcPr>
          <w:p w14:paraId="0A5A9530" w14:textId="01B4A160" w:rsidR="008167DF" w:rsidRPr="003B6806" w:rsidRDefault="008167DF" w:rsidP="008167DF">
            <w:pPr>
              <w:widowControl w:val="0"/>
              <w:jc w:val="center"/>
              <w:rPr>
                <w:rFonts w:ascii="Kievit Offc" w:hAnsi="Kievit Offc" w:cs="Calibri"/>
                <w:b/>
                <w:bCs/>
                <w:sz w:val="19"/>
                <w:szCs w:val="19"/>
              </w:rPr>
            </w:pPr>
            <w:r w:rsidRPr="003B6806">
              <w:rPr>
                <w:rFonts w:ascii="Kievit Offc" w:hAnsi="Kievit Offc" w:cs="Calibri"/>
                <w:b/>
                <w:bCs/>
                <w:i/>
                <w:iCs/>
                <w:sz w:val="19"/>
                <w:szCs w:val="19"/>
              </w:rPr>
              <w:t>Budgeting</w:t>
            </w:r>
            <w:r w:rsidR="00D77A03" w:rsidRPr="003B6806">
              <w:rPr>
                <w:rFonts w:ascii="Kievit Offc" w:hAnsi="Kievit Offc" w:cs="Calibri"/>
                <w:b/>
                <w:bCs/>
                <w:i/>
                <w:iCs/>
                <w:sz w:val="19"/>
                <w:szCs w:val="19"/>
              </w:rPr>
              <w:t xml:space="preserve"> and Academic and Financial Plans</w:t>
            </w:r>
          </w:p>
        </w:tc>
      </w:tr>
    </w:tbl>
    <w:tbl>
      <w:tblPr>
        <w:tblStyle w:val="TableGrid"/>
        <w:tblpPr w:leftFromText="180" w:rightFromText="180" w:vertAnchor="text" w:horzAnchor="margin" w:tblpY="18"/>
        <w:tblW w:w="10795" w:type="dxa"/>
        <w:tblLook w:val="04A0" w:firstRow="1" w:lastRow="0" w:firstColumn="1" w:lastColumn="0" w:noHBand="0" w:noVBand="1"/>
      </w:tblPr>
      <w:tblGrid>
        <w:gridCol w:w="3599"/>
        <w:gridCol w:w="3598"/>
        <w:gridCol w:w="3598"/>
      </w:tblGrid>
      <w:tr w:rsidR="008850F0" w:rsidRPr="003908C5" w14:paraId="61B099C3" w14:textId="77777777" w:rsidTr="00240803">
        <w:trPr>
          <w:trHeight w:val="620"/>
        </w:trPr>
        <w:tc>
          <w:tcPr>
            <w:tcW w:w="10795" w:type="dxa"/>
            <w:gridSpan w:val="3"/>
            <w:tcBorders>
              <w:top w:val="single" w:sz="4" w:space="0" w:color="auto"/>
            </w:tcBorders>
            <w:shd w:val="clear" w:color="auto" w:fill="D73F09"/>
            <w:vAlign w:val="center"/>
          </w:tcPr>
          <w:p w14:paraId="56BE6835" w14:textId="5C36B23C" w:rsidR="008850F0" w:rsidRPr="003908C5" w:rsidRDefault="00225694" w:rsidP="008850F0">
            <w:pPr>
              <w:widowControl w:val="0"/>
              <w:jc w:val="center"/>
              <w:rPr>
                <w:rFonts w:ascii="Stratum2 Regular" w:hAnsi="Stratum2 Regular" w:cs="Calibri"/>
                <w:b/>
                <w:bCs/>
                <w:sz w:val="24"/>
                <w:szCs w:val="24"/>
              </w:rPr>
            </w:pPr>
            <w:r w:rsidRPr="00225694">
              <w:rPr>
                <w:rFonts w:ascii="Stratum2 Regular" w:hAnsi="Stratum2 Regular" w:cs="Calibri"/>
                <w:b/>
                <w:bCs/>
                <w:sz w:val="36"/>
                <w:szCs w:val="20"/>
              </w:rPr>
              <w:lastRenderedPageBreak/>
              <w:t>Blueprint: 12-Course Education-to-Career Model</w:t>
            </w:r>
          </w:p>
        </w:tc>
      </w:tr>
      <w:tr w:rsidR="008850F0" w:rsidRPr="003908C5" w14:paraId="737392FC" w14:textId="77777777" w:rsidTr="00225694">
        <w:trPr>
          <w:trHeight w:val="350"/>
        </w:trPr>
        <w:tc>
          <w:tcPr>
            <w:tcW w:w="10795" w:type="dxa"/>
            <w:gridSpan w:val="3"/>
            <w:tcBorders>
              <w:bottom w:val="nil"/>
            </w:tcBorders>
            <w:shd w:val="clear" w:color="auto" w:fill="E7E6E6" w:themeFill="background2"/>
            <w:vAlign w:val="center"/>
          </w:tcPr>
          <w:p w14:paraId="4F07A5E1" w14:textId="77777777" w:rsidR="008850F0" w:rsidRPr="003908C5" w:rsidRDefault="008850F0" w:rsidP="008850F0">
            <w:pPr>
              <w:widowControl w:val="0"/>
              <w:jc w:val="center"/>
              <w:rPr>
                <w:rFonts w:ascii="Kievit Offc" w:hAnsi="Kievit Offc" w:cs="Calibri"/>
                <w:b/>
                <w:bCs/>
                <w:sz w:val="20"/>
                <w:szCs w:val="20"/>
              </w:rPr>
            </w:pPr>
            <w:r w:rsidRPr="003908C5">
              <w:rPr>
                <w:rFonts w:ascii="Kievit Offc" w:hAnsi="Kievit Offc" w:cs="Calibri"/>
                <w:b/>
                <w:bCs/>
                <w:sz w:val="20"/>
                <w:szCs w:val="20"/>
              </w:rPr>
              <w:t>Third Year Experience (3YE)</w:t>
            </w:r>
          </w:p>
        </w:tc>
      </w:tr>
      <w:tr w:rsidR="008850F0" w:rsidRPr="003908C5" w14:paraId="3FCBB415" w14:textId="77777777" w:rsidTr="00240803">
        <w:trPr>
          <w:trHeight w:val="609"/>
        </w:trPr>
        <w:tc>
          <w:tcPr>
            <w:tcW w:w="3599" w:type="dxa"/>
            <w:tcBorders>
              <w:top w:val="single" w:sz="12" w:space="0" w:color="auto"/>
              <w:left w:val="single" w:sz="4" w:space="0" w:color="auto"/>
              <w:bottom w:val="nil"/>
              <w:right w:val="single" w:sz="12" w:space="0" w:color="auto"/>
            </w:tcBorders>
          </w:tcPr>
          <w:p w14:paraId="531217D1" w14:textId="10F4CD3F" w:rsidR="008850F0" w:rsidRPr="00225694" w:rsidRDefault="008850F0" w:rsidP="001375A3">
            <w:pPr>
              <w:widowControl w:val="0"/>
              <w:jc w:val="center"/>
              <w:rPr>
                <w:rFonts w:ascii="Kievit Offc" w:hAnsi="Kievit Offc" w:cs="Calibri"/>
                <w:sz w:val="20"/>
                <w:szCs w:val="20"/>
              </w:rPr>
            </w:pPr>
            <w:r w:rsidRPr="003908C5">
              <w:rPr>
                <w:rFonts w:ascii="Kievit Offc" w:hAnsi="Kievit Offc" w:cs="Calibri"/>
                <w:b/>
                <w:bCs/>
                <w:sz w:val="20"/>
                <w:szCs w:val="20"/>
              </w:rPr>
              <w:t xml:space="preserve">BA 311: </w:t>
            </w:r>
            <w:r w:rsidR="00F26548" w:rsidRPr="003908C5">
              <w:rPr>
                <w:rFonts w:ascii="Kievit Offc" w:hAnsi="Kievit Offc" w:cs="Calibri"/>
                <w:b/>
                <w:bCs/>
                <w:sz w:val="20"/>
                <w:szCs w:val="20"/>
              </w:rPr>
              <w:t xml:space="preserve"> </w:t>
            </w:r>
            <w:r w:rsidR="001375A3">
              <w:rPr>
                <w:rFonts w:ascii="Kievit Offc" w:hAnsi="Kievit Offc" w:cs="Calibri"/>
                <w:b/>
                <w:bCs/>
                <w:sz w:val="20"/>
                <w:szCs w:val="20"/>
              </w:rPr>
              <w:t>Framing Your Career Plan</w:t>
            </w:r>
            <w:r w:rsidR="006F6F34">
              <w:rPr>
                <w:rFonts w:ascii="Kievit Offc" w:hAnsi="Kievit Offc" w:cs="Calibri"/>
                <w:b/>
                <w:bCs/>
                <w:sz w:val="20"/>
                <w:szCs w:val="20"/>
              </w:rPr>
              <w:t xml:space="preserve"> </w:t>
            </w:r>
            <w:r w:rsidR="001375A3">
              <w:rPr>
                <w:rFonts w:ascii="Kievit Offc" w:hAnsi="Kievit Offc" w:cs="Calibri"/>
                <w:b/>
                <w:bCs/>
                <w:sz w:val="20"/>
                <w:szCs w:val="20"/>
              </w:rPr>
              <w:br/>
            </w:r>
            <w:r w:rsidR="006F6F34">
              <w:rPr>
                <w:rFonts w:ascii="Kievit Offc" w:hAnsi="Kievit Offc" w:cs="Calibri"/>
                <w:i/>
                <w:iCs/>
                <w:sz w:val="20"/>
                <w:szCs w:val="20"/>
              </w:rPr>
              <w:t>(1 credit)</w:t>
            </w:r>
          </w:p>
        </w:tc>
        <w:tc>
          <w:tcPr>
            <w:tcW w:w="3598" w:type="dxa"/>
            <w:tcBorders>
              <w:top w:val="single" w:sz="12" w:space="0" w:color="auto"/>
              <w:left w:val="single" w:sz="12" w:space="0" w:color="auto"/>
              <w:bottom w:val="nil"/>
              <w:right w:val="single" w:sz="12" w:space="0" w:color="auto"/>
            </w:tcBorders>
          </w:tcPr>
          <w:p w14:paraId="242E03D8" w14:textId="77777777" w:rsidR="00225694" w:rsidRDefault="008850F0" w:rsidP="003333C3">
            <w:pPr>
              <w:widowControl w:val="0"/>
              <w:jc w:val="center"/>
              <w:rPr>
                <w:rFonts w:ascii="Kievit Offc" w:hAnsi="Kievit Offc" w:cs="Calibri"/>
                <w:b/>
                <w:bCs/>
                <w:sz w:val="20"/>
                <w:szCs w:val="20"/>
              </w:rPr>
            </w:pPr>
            <w:r w:rsidRPr="003908C5">
              <w:rPr>
                <w:rFonts w:ascii="Kievit Offc" w:hAnsi="Kievit Offc" w:cs="Calibri"/>
                <w:b/>
                <w:bCs/>
                <w:sz w:val="20"/>
                <w:szCs w:val="20"/>
              </w:rPr>
              <w:t xml:space="preserve">BA 312: </w:t>
            </w:r>
            <w:r w:rsidR="00CB6E44" w:rsidRPr="003908C5">
              <w:rPr>
                <w:rFonts w:ascii="Kievit Offc" w:hAnsi="Kievit Offc" w:cs="Calibri"/>
                <w:b/>
                <w:bCs/>
                <w:sz w:val="20"/>
                <w:szCs w:val="20"/>
              </w:rPr>
              <w:t xml:space="preserve">Foundations of </w:t>
            </w:r>
          </w:p>
          <w:p w14:paraId="5E874137" w14:textId="3A829EDE" w:rsidR="008850F0" w:rsidRPr="00225694" w:rsidRDefault="00CB6E44" w:rsidP="00225694">
            <w:pPr>
              <w:widowControl w:val="0"/>
              <w:jc w:val="center"/>
              <w:rPr>
                <w:rFonts w:ascii="Kievit Offc" w:hAnsi="Kievit Offc" w:cs="Calibri"/>
                <w:b/>
                <w:bCs/>
                <w:sz w:val="20"/>
                <w:szCs w:val="20"/>
              </w:rPr>
            </w:pPr>
            <w:r w:rsidRPr="003908C5">
              <w:rPr>
                <w:rFonts w:ascii="Kievit Offc" w:hAnsi="Kievit Offc" w:cs="Calibri"/>
                <w:b/>
                <w:bCs/>
                <w:sz w:val="20"/>
                <w:szCs w:val="20"/>
              </w:rPr>
              <w:t>Personal Finance II</w:t>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c>
          <w:tcPr>
            <w:tcW w:w="3598" w:type="dxa"/>
            <w:tcBorders>
              <w:top w:val="single" w:sz="12" w:space="0" w:color="auto"/>
              <w:left w:val="single" w:sz="12" w:space="0" w:color="auto"/>
              <w:bottom w:val="nil"/>
              <w:right w:val="single" w:sz="4" w:space="0" w:color="auto"/>
            </w:tcBorders>
          </w:tcPr>
          <w:p w14:paraId="4CC04BCC" w14:textId="77777777" w:rsidR="00225694" w:rsidRDefault="008850F0" w:rsidP="003333C3">
            <w:pPr>
              <w:widowControl w:val="0"/>
              <w:jc w:val="center"/>
              <w:rPr>
                <w:rFonts w:ascii="Kievit Offc" w:hAnsi="Kievit Offc" w:cs="Calibri"/>
                <w:b/>
                <w:bCs/>
                <w:sz w:val="20"/>
                <w:szCs w:val="20"/>
              </w:rPr>
            </w:pPr>
            <w:r w:rsidRPr="003908C5">
              <w:rPr>
                <w:rFonts w:ascii="Kievit Offc" w:hAnsi="Kievit Offc" w:cs="Calibri"/>
                <w:b/>
                <w:bCs/>
                <w:sz w:val="20"/>
                <w:szCs w:val="20"/>
              </w:rPr>
              <w:t xml:space="preserve">BA 313:  </w:t>
            </w:r>
            <w:r w:rsidR="00CB6E44" w:rsidRPr="003908C5">
              <w:rPr>
                <w:rFonts w:ascii="Kievit Offc" w:hAnsi="Kievit Offc" w:cs="Calibri"/>
                <w:b/>
                <w:bCs/>
                <w:sz w:val="20"/>
                <w:szCs w:val="20"/>
              </w:rPr>
              <w:t xml:space="preserve">The </w:t>
            </w:r>
            <w:r w:rsidR="00822246" w:rsidRPr="003908C5">
              <w:rPr>
                <w:rFonts w:ascii="Kievit Offc" w:hAnsi="Kievit Offc" w:cs="Calibri"/>
                <w:b/>
                <w:bCs/>
                <w:sz w:val="20"/>
                <w:szCs w:val="20"/>
              </w:rPr>
              <w:t>Orange &amp; Black</w:t>
            </w:r>
            <w:r w:rsidR="00CB6E44" w:rsidRPr="003908C5">
              <w:rPr>
                <w:rFonts w:ascii="Kievit Offc" w:hAnsi="Kievit Offc" w:cs="Calibri"/>
                <w:b/>
                <w:bCs/>
                <w:sz w:val="20"/>
                <w:szCs w:val="20"/>
              </w:rPr>
              <w:t xml:space="preserve"> </w:t>
            </w:r>
          </w:p>
          <w:p w14:paraId="497244F1" w14:textId="2BF56E9A" w:rsidR="003333C3" w:rsidRPr="00225694" w:rsidRDefault="00CB6E44" w:rsidP="00225694">
            <w:pPr>
              <w:widowControl w:val="0"/>
              <w:jc w:val="center"/>
              <w:rPr>
                <w:rFonts w:ascii="Kievit Offc" w:hAnsi="Kievit Offc" w:cs="Calibri"/>
                <w:b/>
                <w:bCs/>
                <w:sz w:val="20"/>
                <w:szCs w:val="20"/>
              </w:rPr>
            </w:pPr>
            <w:r w:rsidRPr="003908C5">
              <w:rPr>
                <w:rFonts w:ascii="Kievit Offc" w:hAnsi="Kievit Offc" w:cs="Calibri"/>
                <w:b/>
                <w:bCs/>
                <w:sz w:val="20"/>
                <w:szCs w:val="20"/>
              </w:rPr>
              <w:t>Competition</w:t>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r>
      <w:tr w:rsidR="00225694" w:rsidRPr="003908C5" w14:paraId="46BE1882" w14:textId="77777777" w:rsidTr="00240803">
        <w:trPr>
          <w:trHeight w:val="1350"/>
        </w:trPr>
        <w:tc>
          <w:tcPr>
            <w:tcW w:w="3599" w:type="dxa"/>
            <w:tcBorders>
              <w:top w:val="nil"/>
              <w:left w:val="single" w:sz="4" w:space="0" w:color="auto"/>
              <w:bottom w:val="nil"/>
              <w:right w:val="single" w:sz="12" w:space="0" w:color="auto"/>
            </w:tcBorders>
          </w:tcPr>
          <w:p w14:paraId="4733FBEA"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learn best practices for effective job search strategies, ultimately preparing for and applying to several positions of personal interest. </w:t>
            </w:r>
          </w:p>
          <w:p w14:paraId="3EC0A776" w14:textId="77777777" w:rsidR="00225694" w:rsidRPr="003B6806" w:rsidRDefault="00225694" w:rsidP="00F26548">
            <w:pPr>
              <w:widowControl w:val="0"/>
              <w:jc w:val="center"/>
              <w:rPr>
                <w:rFonts w:ascii="Kievit Offc" w:hAnsi="Kievit Offc" w:cs="Calibri"/>
                <w:b/>
                <w:bCs/>
                <w:sz w:val="19"/>
                <w:szCs w:val="19"/>
              </w:rPr>
            </w:pPr>
          </w:p>
        </w:tc>
        <w:tc>
          <w:tcPr>
            <w:tcW w:w="3598" w:type="dxa"/>
            <w:tcBorders>
              <w:top w:val="nil"/>
              <w:left w:val="single" w:sz="12" w:space="0" w:color="auto"/>
              <w:bottom w:val="nil"/>
              <w:right w:val="single" w:sz="12" w:space="0" w:color="auto"/>
            </w:tcBorders>
          </w:tcPr>
          <w:p w14:paraId="28560A24"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continue to learn the basics of their personal finances by diving deep into several topics designed to meet their unique needs. </w:t>
            </w:r>
          </w:p>
          <w:p w14:paraId="7FE51F79" w14:textId="77777777" w:rsidR="00225694" w:rsidRPr="003B6806" w:rsidRDefault="00225694" w:rsidP="003333C3">
            <w:pPr>
              <w:widowControl w:val="0"/>
              <w:jc w:val="center"/>
              <w:rPr>
                <w:rFonts w:ascii="Kievit Offc" w:hAnsi="Kievit Offc" w:cs="Calibri"/>
                <w:b/>
                <w:bCs/>
                <w:sz w:val="19"/>
                <w:szCs w:val="19"/>
              </w:rPr>
            </w:pPr>
          </w:p>
        </w:tc>
        <w:tc>
          <w:tcPr>
            <w:tcW w:w="3598" w:type="dxa"/>
            <w:tcBorders>
              <w:top w:val="nil"/>
              <w:left w:val="single" w:sz="12" w:space="0" w:color="auto"/>
              <w:bottom w:val="nil"/>
              <w:right w:val="single" w:sz="4" w:space="0" w:color="auto"/>
            </w:tcBorders>
          </w:tcPr>
          <w:p w14:paraId="13F55B59" w14:textId="41C7D62E"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learn how </w:t>
            </w:r>
            <w:r w:rsidR="00AA6145" w:rsidRPr="003B6806">
              <w:rPr>
                <w:rFonts w:ascii="Kievit Offc" w:hAnsi="Kievit Offc" w:cs="Calibri"/>
                <w:sz w:val="19"/>
                <w:szCs w:val="19"/>
              </w:rPr>
              <w:t>to form arguments and engage in civil discourse by</w:t>
            </w:r>
            <w:r w:rsidRPr="003B6806">
              <w:rPr>
                <w:rFonts w:ascii="Kievit Offc" w:hAnsi="Kievit Offc" w:cs="Calibri"/>
                <w:sz w:val="19"/>
                <w:szCs w:val="19"/>
              </w:rPr>
              <w:t xml:space="preserve"> participating in </w:t>
            </w:r>
            <w:r w:rsidR="00AA6145" w:rsidRPr="003B6806">
              <w:rPr>
                <w:rFonts w:ascii="Kievit Offc" w:hAnsi="Kievit Offc" w:cs="Calibri"/>
                <w:sz w:val="19"/>
                <w:szCs w:val="19"/>
              </w:rPr>
              <w:t>a debate on trending and relevant topics at the intersect of business, government, and society</w:t>
            </w:r>
            <w:r w:rsidRPr="003B6806">
              <w:rPr>
                <w:rFonts w:ascii="Kievit Offc" w:hAnsi="Kievit Offc" w:cs="Calibri"/>
                <w:sz w:val="19"/>
                <w:szCs w:val="19"/>
              </w:rPr>
              <w:t xml:space="preserve">. </w:t>
            </w:r>
          </w:p>
        </w:tc>
      </w:tr>
      <w:tr w:rsidR="00225694" w:rsidRPr="003908C5" w14:paraId="337163B2" w14:textId="77777777" w:rsidTr="00240803">
        <w:trPr>
          <w:trHeight w:val="2250"/>
        </w:trPr>
        <w:tc>
          <w:tcPr>
            <w:tcW w:w="3599" w:type="dxa"/>
            <w:tcBorders>
              <w:top w:val="nil"/>
              <w:left w:val="single" w:sz="4" w:space="0" w:color="auto"/>
              <w:bottom w:val="nil"/>
              <w:right w:val="single" w:sz="12" w:space="0" w:color="auto"/>
            </w:tcBorders>
          </w:tcPr>
          <w:p w14:paraId="1865482F" w14:textId="77777777" w:rsidR="00225694" w:rsidRPr="003B6806" w:rsidRDefault="00225694" w:rsidP="00225694">
            <w:pPr>
              <w:rPr>
                <w:rFonts w:ascii="Kievit Offc" w:hAnsi="Kievit Offc" w:cs="Calibri"/>
                <w:i/>
                <w:sz w:val="19"/>
                <w:szCs w:val="19"/>
              </w:rPr>
            </w:pPr>
            <w:r w:rsidRPr="003B6806">
              <w:rPr>
                <w:rFonts w:ascii="Kievit Offc" w:hAnsi="Kievit Offc" w:cs="Calibri"/>
                <w:sz w:val="19"/>
                <w:szCs w:val="19"/>
              </w:rPr>
              <w:t xml:space="preserve">Students will: </w:t>
            </w:r>
          </w:p>
          <w:p w14:paraId="2A7A1108"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Navigate and explore job options</w:t>
            </w:r>
          </w:p>
          <w:p w14:paraId="27EC2B36"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Apply common techniques when answering interview questions  </w:t>
            </w:r>
          </w:p>
          <w:p w14:paraId="2A427F26"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Articulate your thoughts, ideas, skills, and experiences clearly and effectively during formal and informal interviews</w:t>
            </w:r>
          </w:p>
          <w:p w14:paraId="5414A80D"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Practice preparing for and participating in networking opportunities</w:t>
            </w:r>
          </w:p>
          <w:p w14:paraId="2C5E7B38" w14:textId="377FCCFF" w:rsidR="00225694" w:rsidRPr="003B6806" w:rsidRDefault="003B6806" w:rsidP="003B6806">
            <w:pPr>
              <w:widowControl w:val="0"/>
              <w:jc w:val="center"/>
              <w:rPr>
                <w:rFonts w:ascii="Kievit Offc" w:hAnsi="Kievit Offc" w:cs="Calibri"/>
                <w:b/>
                <w:bCs/>
                <w:sz w:val="19"/>
                <w:szCs w:val="19"/>
              </w:rPr>
            </w:pPr>
            <w:r w:rsidRPr="003B6806">
              <w:rPr>
                <w:rFonts w:ascii="Kievit Offc" w:hAnsi="Kievit Offc" w:cs="Arial"/>
                <w:bCs/>
                <w:sz w:val="19"/>
                <w:szCs w:val="19"/>
              </w:rPr>
              <w:t>Conduct a skills gap analysis to inform your future professional growth</w:t>
            </w:r>
            <w:r w:rsidRPr="003B6806">
              <w:rPr>
                <w:rFonts w:ascii="Times New Roman" w:eastAsia="Times New Roman" w:hAnsi="Times New Roman" w:cs="Times New Roman"/>
                <w:color w:val="252525"/>
                <w:sz w:val="19"/>
                <w:szCs w:val="19"/>
              </w:rPr>
              <w:t xml:space="preserve"> </w:t>
            </w:r>
          </w:p>
        </w:tc>
        <w:tc>
          <w:tcPr>
            <w:tcW w:w="3598" w:type="dxa"/>
            <w:tcBorders>
              <w:top w:val="nil"/>
              <w:left w:val="single" w:sz="12" w:space="0" w:color="auto"/>
              <w:bottom w:val="nil"/>
              <w:right w:val="single" w:sz="12" w:space="0" w:color="auto"/>
            </w:tcBorders>
          </w:tcPr>
          <w:p w14:paraId="2CB52932"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Students will:</w:t>
            </w:r>
          </w:p>
          <w:p w14:paraId="3F82A4F6"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Discover how the brain influences one’s financial decisions </w:t>
            </w:r>
          </w:p>
          <w:p w14:paraId="11FF3E79"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Understand the impact various obligations and decisions will have on one’s future income</w:t>
            </w:r>
          </w:p>
          <w:p w14:paraId="080C57EA"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Learn the basics of taxes, credit, and making major purchases as they relate to one’s personal financial management</w:t>
            </w:r>
          </w:p>
          <w:p w14:paraId="3FA9E504" w14:textId="5C956913" w:rsidR="00225694" w:rsidRPr="003B6806" w:rsidRDefault="003B6806" w:rsidP="003B6806">
            <w:pPr>
              <w:widowControl w:val="0"/>
              <w:jc w:val="center"/>
              <w:rPr>
                <w:rFonts w:ascii="Kievit Offc" w:hAnsi="Kievit Offc" w:cs="Calibri"/>
                <w:b/>
                <w:bCs/>
                <w:sz w:val="19"/>
                <w:szCs w:val="19"/>
              </w:rPr>
            </w:pPr>
            <w:r w:rsidRPr="003B6806">
              <w:rPr>
                <w:rFonts w:ascii="Kievit Offc" w:hAnsi="Kievit Offc" w:cs="Arial"/>
                <w:bCs/>
                <w:sz w:val="19"/>
                <w:szCs w:val="19"/>
              </w:rPr>
              <w:t>Develop and apply foundational skills in personal money management</w:t>
            </w:r>
            <w:r w:rsidRPr="003B6806">
              <w:rPr>
                <w:rFonts w:ascii="Times New Roman" w:eastAsia="Times New Roman" w:hAnsi="Times New Roman" w:cs="Times New Roman"/>
                <w:color w:val="000000"/>
                <w:sz w:val="19"/>
                <w:szCs w:val="19"/>
              </w:rPr>
              <w:t xml:space="preserve"> </w:t>
            </w:r>
          </w:p>
        </w:tc>
        <w:tc>
          <w:tcPr>
            <w:tcW w:w="3598" w:type="dxa"/>
            <w:tcBorders>
              <w:top w:val="nil"/>
              <w:left w:val="single" w:sz="12" w:space="0" w:color="auto"/>
              <w:bottom w:val="nil"/>
              <w:right w:val="single" w:sz="4" w:space="0" w:color="auto"/>
            </w:tcBorders>
          </w:tcPr>
          <w:p w14:paraId="160DB404" w14:textId="77777777" w:rsidR="00225694" w:rsidRPr="003B6806" w:rsidRDefault="00225694" w:rsidP="00225694">
            <w:pPr>
              <w:rPr>
                <w:rFonts w:ascii="Kievit Offc" w:hAnsi="Kievit Offc" w:cs="Calibri"/>
                <w:i/>
                <w:sz w:val="19"/>
                <w:szCs w:val="19"/>
              </w:rPr>
            </w:pPr>
            <w:r w:rsidRPr="003B6806">
              <w:rPr>
                <w:rFonts w:ascii="Kievit Offc" w:hAnsi="Kievit Offc" w:cs="Calibri"/>
                <w:sz w:val="19"/>
                <w:szCs w:val="19"/>
              </w:rPr>
              <w:t>Students will:</w:t>
            </w:r>
          </w:p>
          <w:p w14:paraId="0EA21AE2"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Obtain, interpret, and use knowledge, facts, and data to analyze issues, make decisions, and overcome problems</w:t>
            </w:r>
          </w:p>
          <w:p w14:paraId="7BEE1AA7"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Recognize and utilize various forms of arguments to make a persuasive case</w:t>
            </w:r>
          </w:p>
          <w:p w14:paraId="78816E9A"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Explore how personal values, principles, and ethics play into one’s decision making</w:t>
            </w:r>
          </w:p>
          <w:p w14:paraId="187D068E"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Learn how to leverage the strengths of others to achieve common goals in a team environment</w:t>
            </w:r>
          </w:p>
          <w:p w14:paraId="73C3A3D7" w14:textId="0F712BC3" w:rsidR="00225694" w:rsidRPr="003B6806" w:rsidRDefault="003B6806" w:rsidP="003B6806">
            <w:pPr>
              <w:widowControl w:val="0"/>
              <w:jc w:val="center"/>
              <w:rPr>
                <w:rFonts w:ascii="Kievit Offc" w:hAnsi="Kievit Offc" w:cs="Calibri"/>
                <w:b/>
                <w:bCs/>
                <w:sz w:val="19"/>
                <w:szCs w:val="19"/>
              </w:rPr>
            </w:pPr>
            <w:r w:rsidRPr="003B6806">
              <w:rPr>
                <w:rFonts w:ascii="Kievit Offc" w:hAnsi="Kievit Offc" w:cs="Arial"/>
                <w:bCs/>
                <w:sz w:val="19"/>
                <w:szCs w:val="19"/>
              </w:rPr>
              <w:t>Advance their skills in creating and giving powerful team presentations</w:t>
            </w:r>
          </w:p>
        </w:tc>
      </w:tr>
      <w:tr w:rsidR="00225694" w:rsidRPr="003908C5" w14:paraId="6F99FCCD" w14:textId="77777777" w:rsidTr="00240803">
        <w:tc>
          <w:tcPr>
            <w:tcW w:w="3599" w:type="dxa"/>
            <w:tcBorders>
              <w:top w:val="nil"/>
              <w:left w:val="single" w:sz="4" w:space="0" w:color="auto"/>
              <w:bottom w:val="single" w:sz="12" w:space="0" w:color="auto"/>
              <w:right w:val="single" w:sz="12" w:space="0" w:color="auto"/>
            </w:tcBorders>
          </w:tcPr>
          <w:p w14:paraId="39B69100" w14:textId="4EE22D2F" w:rsidR="00225694" w:rsidRPr="003908C5" w:rsidRDefault="00240803" w:rsidP="00F26548">
            <w:pPr>
              <w:widowControl w:val="0"/>
              <w:jc w:val="center"/>
              <w:rPr>
                <w:rFonts w:ascii="Kievit Offc" w:hAnsi="Kievit Offc" w:cs="Calibri"/>
                <w:b/>
                <w:bCs/>
                <w:sz w:val="20"/>
                <w:szCs w:val="20"/>
              </w:rPr>
            </w:pPr>
            <w:r>
              <w:rPr>
                <w:rFonts w:ascii="Kievit Offc" w:hAnsi="Kievit Offc" w:cs="Calibri"/>
                <w:b/>
                <w:bCs/>
                <w:i/>
                <w:iCs/>
                <w:sz w:val="20"/>
                <w:szCs w:val="20"/>
              </w:rPr>
              <w:t xml:space="preserve">Managing Professional Career Opportunities </w:t>
            </w:r>
          </w:p>
        </w:tc>
        <w:tc>
          <w:tcPr>
            <w:tcW w:w="3598" w:type="dxa"/>
            <w:tcBorders>
              <w:top w:val="nil"/>
              <w:left w:val="single" w:sz="12" w:space="0" w:color="auto"/>
              <w:bottom w:val="single" w:sz="12" w:space="0" w:color="auto"/>
              <w:right w:val="single" w:sz="12" w:space="0" w:color="auto"/>
            </w:tcBorders>
          </w:tcPr>
          <w:p w14:paraId="2BE582A5" w14:textId="2D594A95" w:rsidR="00225694" w:rsidRPr="003908C5" w:rsidRDefault="00225694" w:rsidP="003333C3">
            <w:pPr>
              <w:widowControl w:val="0"/>
              <w:jc w:val="center"/>
              <w:rPr>
                <w:rFonts w:ascii="Kievit Offc" w:hAnsi="Kievit Offc" w:cs="Calibri"/>
                <w:b/>
                <w:bCs/>
                <w:sz w:val="20"/>
                <w:szCs w:val="20"/>
              </w:rPr>
            </w:pPr>
            <w:r>
              <w:rPr>
                <w:rFonts w:ascii="Kievit Offc" w:hAnsi="Kievit Offc" w:cs="Calibri"/>
                <w:b/>
                <w:i/>
                <w:sz w:val="20"/>
                <w:szCs w:val="20"/>
              </w:rPr>
              <w:t xml:space="preserve">Taxes, Credit, </w:t>
            </w:r>
            <w:proofErr w:type="gramStart"/>
            <w:r>
              <w:rPr>
                <w:rFonts w:ascii="Kievit Offc" w:hAnsi="Kievit Offc" w:cs="Calibri"/>
                <w:b/>
                <w:i/>
                <w:sz w:val="20"/>
                <w:szCs w:val="20"/>
              </w:rPr>
              <w:t>Evaluating</w:t>
            </w:r>
            <w:proofErr w:type="gramEnd"/>
            <w:r>
              <w:rPr>
                <w:rFonts w:ascii="Kievit Offc" w:hAnsi="Kievit Offc" w:cs="Calibri"/>
                <w:b/>
                <w:i/>
                <w:sz w:val="20"/>
                <w:szCs w:val="20"/>
              </w:rPr>
              <w:t xml:space="preserve"> a Major Purchase</w:t>
            </w:r>
            <w:r w:rsidR="00D77A03">
              <w:rPr>
                <w:rFonts w:ascii="Kievit Offc" w:hAnsi="Kievit Offc" w:cs="Calibri"/>
                <w:b/>
                <w:i/>
                <w:sz w:val="20"/>
                <w:szCs w:val="20"/>
              </w:rPr>
              <w:t>, and Investing</w:t>
            </w:r>
          </w:p>
        </w:tc>
        <w:tc>
          <w:tcPr>
            <w:tcW w:w="3598" w:type="dxa"/>
            <w:tcBorders>
              <w:top w:val="nil"/>
              <w:left w:val="single" w:sz="12" w:space="0" w:color="auto"/>
              <w:bottom w:val="single" w:sz="12" w:space="0" w:color="auto"/>
              <w:right w:val="single" w:sz="4" w:space="0" w:color="auto"/>
            </w:tcBorders>
          </w:tcPr>
          <w:p w14:paraId="17BE66D6" w14:textId="4B51E1BC" w:rsidR="00225694" w:rsidRPr="003908C5" w:rsidRDefault="00225694" w:rsidP="00225694">
            <w:pPr>
              <w:widowControl w:val="0"/>
              <w:jc w:val="center"/>
              <w:rPr>
                <w:rFonts w:ascii="Kievit Offc" w:hAnsi="Kievit Offc" w:cs="Calibri"/>
                <w:b/>
                <w:bCs/>
                <w:i/>
                <w:iCs/>
                <w:sz w:val="20"/>
                <w:szCs w:val="20"/>
              </w:rPr>
            </w:pPr>
            <w:r>
              <w:rPr>
                <w:rFonts w:ascii="Kievit Offc" w:hAnsi="Kievit Offc" w:cs="Calibri"/>
                <w:b/>
                <w:bCs/>
                <w:i/>
                <w:iCs/>
                <w:sz w:val="20"/>
                <w:szCs w:val="20"/>
              </w:rPr>
              <w:t xml:space="preserve">Ethics </w:t>
            </w:r>
            <w:r w:rsidR="00AA6145">
              <w:rPr>
                <w:rFonts w:ascii="Kievit Offc" w:hAnsi="Kievit Offc" w:cs="Calibri"/>
                <w:b/>
                <w:bCs/>
                <w:i/>
                <w:iCs/>
                <w:sz w:val="20"/>
                <w:szCs w:val="20"/>
              </w:rPr>
              <w:t xml:space="preserve">Debate </w:t>
            </w:r>
            <w:r w:rsidRPr="003908C5">
              <w:rPr>
                <w:rFonts w:ascii="Kievit Offc" w:hAnsi="Kievit Offc" w:cs="Calibri"/>
                <w:b/>
                <w:bCs/>
                <w:i/>
                <w:iCs/>
                <w:sz w:val="20"/>
                <w:szCs w:val="20"/>
              </w:rPr>
              <w:t>Competition</w:t>
            </w:r>
          </w:p>
          <w:p w14:paraId="1ED1BF06" w14:textId="77777777" w:rsidR="00225694" w:rsidRPr="003908C5" w:rsidRDefault="00225694" w:rsidP="003333C3">
            <w:pPr>
              <w:widowControl w:val="0"/>
              <w:jc w:val="center"/>
              <w:rPr>
                <w:rFonts w:ascii="Kievit Offc" w:hAnsi="Kievit Offc" w:cs="Calibri"/>
                <w:b/>
                <w:bCs/>
                <w:sz w:val="20"/>
                <w:szCs w:val="20"/>
              </w:rPr>
            </w:pPr>
          </w:p>
        </w:tc>
      </w:tr>
      <w:tr w:rsidR="008850F0" w:rsidRPr="003908C5" w14:paraId="15CAEDB6" w14:textId="77777777" w:rsidTr="00225694">
        <w:trPr>
          <w:trHeight w:val="359"/>
        </w:trPr>
        <w:tc>
          <w:tcPr>
            <w:tcW w:w="10795" w:type="dxa"/>
            <w:gridSpan w:val="3"/>
            <w:tcBorders>
              <w:top w:val="nil"/>
              <w:bottom w:val="nil"/>
            </w:tcBorders>
            <w:shd w:val="clear" w:color="auto" w:fill="E7E6E6" w:themeFill="background2"/>
            <w:vAlign w:val="center"/>
          </w:tcPr>
          <w:p w14:paraId="04C85E01" w14:textId="77777777" w:rsidR="008850F0" w:rsidRPr="003908C5" w:rsidRDefault="008850F0" w:rsidP="008850F0">
            <w:pPr>
              <w:widowControl w:val="0"/>
              <w:jc w:val="center"/>
              <w:rPr>
                <w:rFonts w:ascii="Kievit Offc" w:hAnsi="Kievit Offc" w:cs="Calibri"/>
                <w:b/>
                <w:bCs/>
                <w:sz w:val="20"/>
                <w:szCs w:val="20"/>
              </w:rPr>
            </w:pPr>
            <w:r w:rsidRPr="003908C5">
              <w:rPr>
                <w:rFonts w:ascii="Kievit Offc" w:hAnsi="Kievit Offc" w:cs="Calibri"/>
                <w:b/>
                <w:bCs/>
                <w:sz w:val="20"/>
                <w:szCs w:val="20"/>
              </w:rPr>
              <w:t>Fourth Year Experience (4YE)</w:t>
            </w:r>
          </w:p>
        </w:tc>
      </w:tr>
      <w:tr w:rsidR="008850F0" w:rsidRPr="003908C5" w14:paraId="1B677584" w14:textId="77777777" w:rsidTr="00240803">
        <w:trPr>
          <w:trHeight w:val="359"/>
        </w:trPr>
        <w:tc>
          <w:tcPr>
            <w:tcW w:w="3599" w:type="dxa"/>
            <w:tcBorders>
              <w:top w:val="single" w:sz="12" w:space="0" w:color="auto"/>
              <w:left w:val="single" w:sz="4" w:space="0" w:color="auto"/>
              <w:bottom w:val="nil"/>
              <w:right w:val="single" w:sz="12" w:space="0" w:color="auto"/>
            </w:tcBorders>
          </w:tcPr>
          <w:p w14:paraId="03D2A447" w14:textId="14B7BFEE" w:rsidR="008850F0" w:rsidRPr="00225694" w:rsidRDefault="00BA7297" w:rsidP="00225694">
            <w:pPr>
              <w:widowControl w:val="0"/>
              <w:jc w:val="center"/>
              <w:rPr>
                <w:rFonts w:ascii="Kievit Offc" w:hAnsi="Kievit Offc" w:cs="Calibri"/>
                <w:b/>
                <w:bCs/>
                <w:sz w:val="20"/>
                <w:szCs w:val="20"/>
              </w:rPr>
            </w:pPr>
            <w:r w:rsidRPr="003908C5">
              <w:rPr>
                <w:rFonts w:ascii="Kievit Offc" w:hAnsi="Kievit Offc" w:cs="Calibri"/>
                <w:b/>
                <w:bCs/>
                <w:sz w:val="20"/>
                <w:szCs w:val="20"/>
              </w:rPr>
              <w:t xml:space="preserve">BA 411: </w:t>
            </w:r>
            <w:r w:rsidR="001375A3">
              <w:rPr>
                <w:rFonts w:ascii="Kievit Offc" w:hAnsi="Kievit Offc" w:cs="Calibri"/>
                <w:b/>
                <w:bCs/>
                <w:sz w:val="20"/>
                <w:szCs w:val="20"/>
              </w:rPr>
              <w:t>Navigating Your Workplace</w:t>
            </w:r>
            <w:r w:rsidR="001375A3">
              <w:rPr>
                <w:rFonts w:ascii="Kievit Offc" w:hAnsi="Kievit Offc" w:cs="Calibri"/>
                <w:b/>
                <w:bCs/>
                <w:sz w:val="20"/>
                <w:szCs w:val="20"/>
              </w:rPr>
              <w:br/>
            </w:r>
            <w:r w:rsidR="006F6F34">
              <w:rPr>
                <w:rFonts w:ascii="Kievit Offc" w:hAnsi="Kievit Offc" w:cs="Calibri"/>
                <w:b/>
                <w:bCs/>
                <w:sz w:val="20"/>
                <w:szCs w:val="20"/>
              </w:rPr>
              <w:t xml:space="preserve"> </w:t>
            </w:r>
            <w:r w:rsidR="006F6F34">
              <w:rPr>
                <w:rFonts w:ascii="Kievit Offc" w:hAnsi="Kievit Offc" w:cs="Calibri"/>
                <w:i/>
                <w:iCs/>
                <w:sz w:val="20"/>
                <w:szCs w:val="20"/>
              </w:rPr>
              <w:t>(1 credit)</w:t>
            </w:r>
          </w:p>
        </w:tc>
        <w:tc>
          <w:tcPr>
            <w:tcW w:w="3598" w:type="dxa"/>
            <w:tcBorders>
              <w:top w:val="single" w:sz="12" w:space="0" w:color="auto"/>
              <w:left w:val="single" w:sz="12" w:space="0" w:color="auto"/>
              <w:bottom w:val="nil"/>
              <w:right w:val="single" w:sz="12" w:space="0" w:color="auto"/>
            </w:tcBorders>
          </w:tcPr>
          <w:p w14:paraId="7C715BE6" w14:textId="325D765D" w:rsidR="008850F0" w:rsidRPr="003908C5" w:rsidRDefault="008850F0" w:rsidP="00225694">
            <w:pPr>
              <w:widowControl w:val="0"/>
              <w:jc w:val="center"/>
              <w:rPr>
                <w:rFonts w:ascii="Kievit Offc" w:hAnsi="Kievit Offc" w:cs="Calibri"/>
                <w:i/>
                <w:iCs/>
                <w:sz w:val="20"/>
                <w:szCs w:val="20"/>
              </w:rPr>
            </w:pPr>
            <w:r w:rsidRPr="003908C5">
              <w:rPr>
                <w:rFonts w:ascii="Kievit Offc" w:hAnsi="Kievit Offc" w:cs="Calibri"/>
                <w:b/>
                <w:bCs/>
                <w:sz w:val="20"/>
                <w:szCs w:val="20"/>
              </w:rPr>
              <w:t xml:space="preserve">BA 412:  </w:t>
            </w:r>
            <w:r w:rsidR="00F26548" w:rsidRPr="003908C5">
              <w:rPr>
                <w:rFonts w:ascii="Kievit Offc" w:hAnsi="Kievit Offc" w:cs="Calibri"/>
                <w:b/>
                <w:bCs/>
                <w:sz w:val="20"/>
                <w:szCs w:val="20"/>
              </w:rPr>
              <w:t xml:space="preserve"> Financial Planning I</w:t>
            </w:r>
            <w:r w:rsidR="006F6F34">
              <w:rPr>
                <w:rFonts w:ascii="Kievit Offc" w:hAnsi="Kievit Offc" w:cs="Calibri"/>
                <w:b/>
                <w:bCs/>
                <w:sz w:val="20"/>
                <w:szCs w:val="20"/>
              </w:rPr>
              <w:t xml:space="preserve"> </w:t>
            </w:r>
            <w:r w:rsidR="003B6806">
              <w:rPr>
                <w:rFonts w:ascii="Kievit Offc" w:hAnsi="Kievit Offc" w:cs="Calibri"/>
                <w:b/>
                <w:bCs/>
                <w:sz w:val="20"/>
                <w:szCs w:val="20"/>
              </w:rPr>
              <w:br/>
            </w:r>
            <w:r w:rsidR="006F6F34">
              <w:rPr>
                <w:rFonts w:ascii="Kievit Offc" w:hAnsi="Kievit Offc" w:cs="Calibri"/>
                <w:i/>
                <w:iCs/>
                <w:sz w:val="20"/>
                <w:szCs w:val="20"/>
              </w:rPr>
              <w:t>(1 credit)</w:t>
            </w:r>
          </w:p>
        </w:tc>
        <w:tc>
          <w:tcPr>
            <w:tcW w:w="3598" w:type="dxa"/>
            <w:tcBorders>
              <w:top w:val="single" w:sz="12" w:space="0" w:color="auto"/>
              <w:left w:val="single" w:sz="12" w:space="0" w:color="auto"/>
              <w:bottom w:val="nil"/>
              <w:right w:val="single" w:sz="4" w:space="0" w:color="auto"/>
            </w:tcBorders>
          </w:tcPr>
          <w:p w14:paraId="7F091B40" w14:textId="4692AB98" w:rsidR="008850F0" w:rsidRPr="003908C5" w:rsidRDefault="00BA7297" w:rsidP="00225694">
            <w:pPr>
              <w:widowControl w:val="0"/>
              <w:jc w:val="center"/>
              <w:rPr>
                <w:rFonts w:ascii="Kievit Offc" w:hAnsi="Kievit Offc" w:cs="Calibri"/>
                <w:b/>
                <w:bCs/>
                <w:i/>
                <w:iCs/>
                <w:sz w:val="20"/>
                <w:szCs w:val="20"/>
              </w:rPr>
            </w:pPr>
            <w:r w:rsidRPr="003908C5">
              <w:rPr>
                <w:rFonts w:ascii="Kievit Offc" w:hAnsi="Kievit Offc" w:cs="Calibri"/>
                <w:b/>
                <w:bCs/>
                <w:sz w:val="20"/>
                <w:szCs w:val="20"/>
              </w:rPr>
              <w:t xml:space="preserve">BA 413: </w:t>
            </w:r>
            <w:r w:rsidR="00CB6E44" w:rsidRPr="003908C5">
              <w:rPr>
                <w:rFonts w:ascii="Kievit Offc" w:hAnsi="Kievit Offc" w:cs="Calibri"/>
                <w:b/>
                <w:bCs/>
                <w:sz w:val="20"/>
                <w:szCs w:val="20"/>
              </w:rPr>
              <w:t>Financial Planning II</w:t>
            </w:r>
            <w:r w:rsidR="006F6F34">
              <w:rPr>
                <w:rFonts w:ascii="Kievit Offc" w:hAnsi="Kievit Offc" w:cs="Calibri"/>
                <w:b/>
                <w:bCs/>
                <w:sz w:val="20"/>
                <w:szCs w:val="20"/>
              </w:rPr>
              <w:t xml:space="preserve"> </w:t>
            </w:r>
            <w:r w:rsidR="003B6806">
              <w:rPr>
                <w:rFonts w:ascii="Kievit Offc" w:hAnsi="Kievit Offc" w:cs="Calibri"/>
                <w:b/>
                <w:bCs/>
                <w:sz w:val="20"/>
                <w:szCs w:val="20"/>
              </w:rPr>
              <w:br/>
            </w:r>
            <w:r w:rsidR="006F6F34">
              <w:rPr>
                <w:rFonts w:ascii="Kievit Offc" w:hAnsi="Kievit Offc" w:cs="Calibri"/>
                <w:i/>
                <w:iCs/>
                <w:sz w:val="20"/>
                <w:szCs w:val="20"/>
              </w:rPr>
              <w:t>(1 credit)</w:t>
            </w:r>
          </w:p>
        </w:tc>
      </w:tr>
      <w:tr w:rsidR="00225694" w:rsidRPr="003908C5" w14:paraId="21EE9848" w14:textId="77777777" w:rsidTr="00240803">
        <w:trPr>
          <w:trHeight w:val="1340"/>
        </w:trPr>
        <w:tc>
          <w:tcPr>
            <w:tcW w:w="3599" w:type="dxa"/>
            <w:tcBorders>
              <w:top w:val="nil"/>
              <w:left w:val="single" w:sz="4" w:space="0" w:color="auto"/>
              <w:bottom w:val="nil"/>
              <w:right w:val="single" w:sz="12" w:space="0" w:color="auto"/>
            </w:tcBorders>
          </w:tcPr>
          <w:p w14:paraId="17C54BF6" w14:textId="3764457E"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learn methods for accommodating professional and personal obligations and plans after transitioning from the classroom to industry. </w:t>
            </w:r>
          </w:p>
        </w:tc>
        <w:tc>
          <w:tcPr>
            <w:tcW w:w="3598" w:type="dxa"/>
            <w:tcBorders>
              <w:top w:val="nil"/>
              <w:left w:val="single" w:sz="12" w:space="0" w:color="auto"/>
              <w:bottom w:val="nil"/>
              <w:right w:val="single" w:sz="12" w:space="0" w:color="auto"/>
            </w:tcBorders>
          </w:tcPr>
          <w:p w14:paraId="06FFED72" w14:textId="1CCAB8E9"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learn methods for accommodating professional and personal obligations and plans after transitioning from the classroom to industry. </w:t>
            </w:r>
          </w:p>
        </w:tc>
        <w:tc>
          <w:tcPr>
            <w:tcW w:w="3598" w:type="dxa"/>
            <w:tcBorders>
              <w:top w:val="nil"/>
              <w:left w:val="single" w:sz="12" w:space="0" w:color="auto"/>
              <w:bottom w:val="nil"/>
              <w:right w:val="single" w:sz="4" w:space="0" w:color="auto"/>
            </w:tcBorders>
          </w:tcPr>
          <w:p w14:paraId="2344D00F" w14:textId="282476B9"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learn methods for accommodating professional and personal obligations and plans after transitioning from the classroom to industry. </w:t>
            </w:r>
          </w:p>
        </w:tc>
      </w:tr>
      <w:tr w:rsidR="00225694" w:rsidRPr="003908C5" w14:paraId="38DB90EF" w14:textId="77777777" w:rsidTr="00240803">
        <w:trPr>
          <w:trHeight w:val="2600"/>
        </w:trPr>
        <w:tc>
          <w:tcPr>
            <w:tcW w:w="3599" w:type="dxa"/>
            <w:tcBorders>
              <w:top w:val="nil"/>
              <w:left w:val="single" w:sz="4" w:space="0" w:color="auto"/>
              <w:bottom w:val="nil"/>
              <w:right w:val="single" w:sz="12" w:space="0" w:color="auto"/>
            </w:tcBorders>
          </w:tcPr>
          <w:p w14:paraId="14AC5E67"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will: </w:t>
            </w:r>
          </w:p>
          <w:p w14:paraId="0470E25C"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Develop decision-making strategies</w:t>
            </w:r>
          </w:p>
          <w:p w14:paraId="79A88CB4"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Assess complex job offers</w:t>
            </w:r>
          </w:p>
          <w:p w14:paraId="48644566"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Negotiate job benefits and environments</w:t>
            </w:r>
          </w:p>
          <w:p w14:paraId="37EA515A" w14:textId="2DC5C574" w:rsidR="00225694"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Learn how to b</w:t>
            </w:r>
            <w:r w:rsidRPr="003B6806">
              <w:rPr>
                <w:rFonts w:ascii="Kievit Offc" w:hAnsi="Kievit Offc" w:cs="Arial"/>
                <w:bCs/>
                <w:sz w:val="19"/>
                <w:szCs w:val="19"/>
              </w:rPr>
              <w:t>egin, develop, and exit a job</w:t>
            </w:r>
            <w:r w:rsidRPr="003B6806">
              <w:rPr>
                <w:rFonts w:ascii="Times New Roman" w:eastAsia="Times New Roman" w:hAnsi="Times New Roman" w:cs="Times New Roman"/>
                <w:color w:val="000000"/>
                <w:sz w:val="19"/>
                <w:szCs w:val="19"/>
              </w:rPr>
              <w:t xml:space="preserve"> </w:t>
            </w:r>
          </w:p>
        </w:tc>
        <w:tc>
          <w:tcPr>
            <w:tcW w:w="3598" w:type="dxa"/>
            <w:tcBorders>
              <w:top w:val="nil"/>
              <w:left w:val="single" w:sz="12" w:space="0" w:color="auto"/>
              <w:bottom w:val="nil"/>
              <w:right w:val="single" w:sz="12" w:space="0" w:color="auto"/>
            </w:tcBorders>
          </w:tcPr>
          <w:p w14:paraId="47EDA61A"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Students will:</w:t>
            </w:r>
          </w:p>
          <w:p w14:paraId="6F5284D7"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Plan for &amp; maintain future wealth </w:t>
            </w:r>
          </w:p>
          <w:p w14:paraId="4BBF0D70"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Balance investments and safety nets </w:t>
            </w:r>
          </w:p>
          <w:p w14:paraId="429DB74D" w14:textId="77777777" w:rsidR="003B6806"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 xml:space="preserve">Defend assets against fraud </w:t>
            </w:r>
          </w:p>
          <w:p w14:paraId="333FB2C0" w14:textId="2C1F2A12" w:rsidR="00225694" w:rsidRPr="003B6806" w:rsidRDefault="003B6806" w:rsidP="003B6806">
            <w:pPr>
              <w:pStyle w:val="ListParagraph"/>
              <w:numPr>
                <w:ilvl w:val="0"/>
                <w:numId w:val="17"/>
              </w:numPr>
              <w:pBdr>
                <w:top w:val="nil"/>
                <w:left w:val="nil"/>
                <w:bottom w:val="nil"/>
                <w:right w:val="nil"/>
                <w:between w:val="nil"/>
              </w:pBdr>
              <w:ind w:left="152" w:hanging="180"/>
              <w:rPr>
                <w:rFonts w:ascii="Kievit Offc" w:hAnsi="Kievit Offc" w:cs="Arial"/>
                <w:bCs/>
                <w:sz w:val="19"/>
                <w:szCs w:val="19"/>
              </w:rPr>
            </w:pPr>
            <w:r w:rsidRPr="003B6806">
              <w:rPr>
                <w:rFonts w:ascii="Kievit Offc" w:hAnsi="Kievit Offc" w:cs="Arial"/>
                <w:bCs/>
                <w:sz w:val="19"/>
                <w:szCs w:val="19"/>
              </w:rPr>
              <w:t>Find a debt-free future self</w:t>
            </w:r>
            <w:r w:rsidRPr="003B6806">
              <w:rPr>
                <w:rFonts w:ascii="Times New Roman" w:eastAsia="Times New Roman" w:hAnsi="Times New Roman" w:cs="Times New Roman"/>
                <w:color w:val="000000"/>
                <w:sz w:val="19"/>
                <w:szCs w:val="19"/>
              </w:rPr>
              <w:t xml:space="preserve"> </w:t>
            </w:r>
          </w:p>
        </w:tc>
        <w:tc>
          <w:tcPr>
            <w:tcW w:w="3598" w:type="dxa"/>
            <w:tcBorders>
              <w:top w:val="nil"/>
              <w:left w:val="single" w:sz="12" w:space="0" w:color="auto"/>
              <w:bottom w:val="nil"/>
              <w:right w:val="single" w:sz="4" w:space="0" w:color="auto"/>
            </w:tcBorders>
          </w:tcPr>
          <w:p w14:paraId="56A2B449" w14:textId="77777777" w:rsidR="00225694" w:rsidRPr="003B6806" w:rsidRDefault="00225694" w:rsidP="00225694">
            <w:pPr>
              <w:rPr>
                <w:rFonts w:ascii="Kievit Offc" w:hAnsi="Kievit Offc" w:cs="Calibri"/>
                <w:sz w:val="19"/>
                <w:szCs w:val="19"/>
              </w:rPr>
            </w:pPr>
            <w:r w:rsidRPr="003B6806">
              <w:rPr>
                <w:rFonts w:ascii="Kievit Offc" w:hAnsi="Kievit Offc" w:cs="Calibri"/>
                <w:sz w:val="19"/>
                <w:szCs w:val="19"/>
              </w:rPr>
              <w:t xml:space="preserve">Students will: </w:t>
            </w:r>
          </w:p>
          <w:p w14:paraId="6E35FE0B" w14:textId="77777777" w:rsidR="003B6806" w:rsidRPr="003B6806" w:rsidRDefault="003B6806"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Explore the road to home ownership </w:t>
            </w:r>
          </w:p>
          <w:p w14:paraId="285FEDB3" w14:textId="77777777" w:rsidR="003B6806" w:rsidRPr="003B6806" w:rsidRDefault="003B6806"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Balance insurance coverages and costs </w:t>
            </w:r>
          </w:p>
          <w:p w14:paraId="032EAFB1" w14:textId="77777777" w:rsidR="003B6806" w:rsidRPr="003B6806" w:rsidRDefault="003B6806"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 xml:space="preserve">Progress toward retirement goals </w:t>
            </w:r>
          </w:p>
          <w:p w14:paraId="2DB94D69" w14:textId="3116CD9A" w:rsidR="00225694" w:rsidRPr="003B6806" w:rsidRDefault="003B6806" w:rsidP="003B6806">
            <w:pPr>
              <w:pStyle w:val="ListParagraph"/>
              <w:numPr>
                <w:ilvl w:val="0"/>
                <w:numId w:val="17"/>
              </w:numPr>
              <w:ind w:left="152" w:hanging="180"/>
              <w:rPr>
                <w:rFonts w:ascii="Kievit Offc" w:hAnsi="Kievit Offc" w:cs="Arial"/>
                <w:bCs/>
                <w:sz w:val="19"/>
                <w:szCs w:val="19"/>
              </w:rPr>
            </w:pPr>
            <w:r w:rsidRPr="003B6806">
              <w:rPr>
                <w:rFonts w:ascii="Kievit Offc" w:hAnsi="Kievit Offc" w:cs="Arial"/>
                <w:bCs/>
                <w:sz w:val="19"/>
                <w:szCs w:val="19"/>
              </w:rPr>
              <w:t>Plan estates and legacies</w:t>
            </w:r>
          </w:p>
        </w:tc>
      </w:tr>
      <w:tr w:rsidR="00225694" w:rsidRPr="003908C5" w14:paraId="2CF0A5F8" w14:textId="77777777" w:rsidTr="00240803">
        <w:tc>
          <w:tcPr>
            <w:tcW w:w="3599" w:type="dxa"/>
            <w:tcBorders>
              <w:top w:val="nil"/>
              <w:left w:val="single" w:sz="4" w:space="0" w:color="auto"/>
              <w:bottom w:val="single" w:sz="4" w:space="0" w:color="auto"/>
              <w:right w:val="single" w:sz="12" w:space="0" w:color="auto"/>
            </w:tcBorders>
          </w:tcPr>
          <w:p w14:paraId="7F813F83" w14:textId="396091D2" w:rsidR="00225694" w:rsidRPr="003908C5" w:rsidRDefault="00225694" w:rsidP="00225694">
            <w:pPr>
              <w:widowControl w:val="0"/>
              <w:jc w:val="center"/>
              <w:rPr>
                <w:rFonts w:ascii="Kievit Offc" w:hAnsi="Kievit Offc" w:cs="Calibri"/>
                <w:b/>
                <w:i/>
                <w:sz w:val="20"/>
                <w:szCs w:val="20"/>
              </w:rPr>
            </w:pPr>
            <w:r>
              <w:rPr>
                <w:rFonts w:ascii="Kievit Offc" w:hAnsi="Kievit Offc" w:cs="Calibri"/>
                <w:b/>
                <w:i/>
                <w:sz w:val="20"/>
                <w:szCs w:val="20"/>
              </w:rPr>
              <w:t>Salary Negotiations, Analyzing Job Offers and Benefits Packages, and Maximizing Your First 90 Days of Employment</w:t>
            </w:r>
          </w:p>
          <w:p w14:paraId="0BF14E08" w14:textId="77777777" w:rsidR="00225694" w:rsidRPr="003908C5" w:rsidRDefault="00225694" w:rsidP="00B66FF5">
            <w:pPr>
              <w:widowControl w:val="0"/>
              <w:jc w:val="center"/>
              <w:rPr>
                <w:rFonts w:ascii="Kievit Offc" w:hAnsi="Kievit Offc" w:cs="Calibri"/>
                <w:b/>
                <w:bCs/>
                <w:sz w:val="20"/>
                <w:szCs w:val="20"/>
              </w:rPr>
            </w:pPr>
          </w:p>
        </w:tc>
        <w:tc>
          <w:tcPr>
            <w:tcW w:w="3598" w:type="dxa"/>
            <w:tcBorders>
              <w:top w:val="nil"/>
              <w:left w:val="single" w:sz="12" w:space="0" w:color="auto"/>
              <w:bottom w:val="single" w:sz="4" w:space="0" w:color="auto"/>
              <w:right w:val="single" w:sz="12" w:space="0" w:color="auto"/>
            </w:tcBorders>
          </w:tcPr>
          <w:p w14:paraId="22DA3D77" w14:textId="77777777" w:rsidR="00225694" w:rsidRPr="003908C5" w:rsidRDefault="00225694" w:rsidP="00225694">
            <w:pPr>
              <w:widowControl w:val="0"/>
              <w:jc w:val="center"/>
              <w:rPr>
                <w:rFonts w:ascii="Kievit Offc" w:hAnsi="Kievit Offc" w:cs="Calibri"/>
                <w:b/>
                <w:i/>
                <w:sz w:val="20"/>
                <w:szCs w:val="20"/>
              </w:rPr>
            </w:pPr>
            <w:r>
              <w:rPr>
                <w:rFonts w:ascii="Kievit Offc" w:hAnsi="Kievit Offc" w:cs="Calibri"/>
                <w:b/>
                <w:i/>
                <w:sz w:val="20"/>
                <w:szCs w:val="20"/>
              </w:rPr>
              <w:t xml:space="preserve">Post-Graduation </w:t>
            </w:r>
            <w:r w:rsidRPr="003908C5">
              <w:rPr>
                <w:rFonts w:ascii="Kievit Offc" w:hAnsi="Kievit Offc" w:cs="Calibri"/>
                <w:b/>
                <w:i/>
                <w:sz w:val="20"/>
                <w:szCs w:val="20"/>
              </w:rPr>
              <w:t>Personal Financial Plan</w:t>
            </w:r>
            <w:r>
              <w:rPr>
                <w:rFonts w:ascii="Kievit Offc" w:hAnsi="Kievit Offc" w:cs="Calibri"/>
                <w:b/>
                <w:i/>
                <w:sz w:val="20"/>
                <w:szCs w:val="20"/>
              </w:rPr>
              <w:t>: Budgeting and Financial Goal Setting</w:t>
            </w:r>
          </w:p>
          <w:p w14:paraId="434B2FF2" w14:textId="77777777" w:rsidR="00225694" w:rsidRPr="003908C5" w:rsidRDefault="00225694" w:rsidP="00B66FF5">
            <w:pPr>
              <w:widowControl w:val="0"/>
              <w:jc w:val="center"/>
              <w:rPr>
                <w:rFonts w:ascii="Kievit Offc" w:hAnsi="Kievit Offc" w:cs="Calibri"/>
                <w:b/>
                <w:bCs/>
                <w:sz w:val="20"/>
                <w:szCs w:val="20"/>
              </w:rPr>
            </w:pPr>
          </w:p>
        </w:tc>
        <w:tc>
          <w:tcPr>
            <w:tcW w:w="3598" w:type="dxa"/>
            <w:tcBorders>
              <w:top w:val="nil"/>
              <w:left w:val="single" w:sz="12" w:space="0" w:color="auto"/>
              <w:bottom w:val="single" w:sz="4" w:space="0" w:color="auto"/>
              <w:right w:val="single" w:sz="4" w:space="0" w:color="auto"/>
            </w:tcBorders>
          </w:tcPr>
          <w:p w14:paraId="729A9500" w14:textId="110D0176" w:rsidR="00225694" w:rsidRPr="003908C5" w:rsidRDefault="00225694" w:rsidP="00225694">
            <w:pPr>
              <w:widowControl w:val="0"/>
              <w:jc w:val="center"/>
              <w:rPr>
                <w:rFonts w:ascii="Kievit Offc" w:hAnsi="Kievit Offc" w:cs="Calibri"/>
                <w:b/>
                <w:i/>
                <w:sz w:val="20"/>
                <w:szCs w:val="20"/>
              </w:rPr>
            </w:pPr>
            <w:r>
              <w:rPr>
                <w:rFonts w:ascii="Kievit Offc" w:hAnsi="Kievit Offc" w:cs="Calibri"/>
                <w:b/>
                <w:i/>
                <w:sz w:val="20"/>
                <w:szCs w:val="20"/>
              </w:rPr>
              <w:t xml:space="preserve">Post-Graduation </w:t>
            </w:r>
            <w:r w:rsidRPr="003908C5">
              <w:rPr>
                <w:rFonts w:ascii="Kievit Offc" w:hAnsi="Kievit Offc" w:cs="Calibri"/>
                <w:b/>
                <w:i/>
                <w:sz w:val="20"/>
                <w:szCs w:val="20"/>
              </w:rPr>
              <w:t>Personal Financial Plan</w:t>
            </w:r>
            <w:r>
              <w:rPr>
                <w:rFonts w:ascii="Kievit Offc" w:hAnsi="Kievit Offc" w:cs="Calibri"/>
                <w:b/>
                <w:i/>
                <w:sz w:val="20"/>
                <w:szCs w:val="20"/>
              </w:rPr>
              <w:t xml:space="preserve">: </w:t>
            </w:r>
            <w:r w:rsidR="00D77A03">
              <w:rPr>
                <w:rFonts w:ascii="Kievit Offc" w:hAnsi="Kievit Offc" w:cs="Calibri"/>
                <w:b/>
                <w:i/>
                <w:sz w:val="20"/>
                <w:szCs w:val="20"/>
              </w:rPr>
              <w:t xml:space="preserve">Retirement, </w:t>
            </w:r>
            <w:r>
              <w:rPr>
                <w:rFonts w:ascii="Kievit Offc" w:hAnsi="Kievit Offc" w:cs="Calibri"/>
                <w:b/>
                <w:i/>
                <w:sz w:val="20"/>
                <w:szCs w:val="20"/>
              </w:rPr>
              <w:t>Debt Management, Risk Management / Insurance, and Estate Planning</w:t>
            </w:r>
          </w:p>
          <w:p w14:paraId="367B22BE" w14:textId="77777777" w:rsidR="00225694" w:rsidRPr="003908C5" w:rsidRDefault="00225694" w:rsidP="00F26548">
            <w:pPr>
              <w:widowControl w:val="0"/>
              <w:jc w:val="center"/>
              <w:rPr>
                <w:rFonts w:ascii="Kievit Offc" w:hAnsi="Kievit Offc" w:cs="Calibri"/>
                <w:b/>
                <w:bCs/>
                <w:sz w:val="20"/>
                <w:szCs w:val="20"/>
              </w:rPr>
            </w:pPr>
          </w:p>
        </w:tc>
      </w:tr>
    </w:tbl>
    <w:p w14:paraId="4CAEA912" w14:textId="3C1920D0" w:rsidR="00F26548" w:rsidRPr="00952512" w:rsidRDefault="00F26548" w:rsidP="00BB0B2D">
      <w:pPr>
        <w:rPr>
          <w:rFonts w:ascii="Kievit Offc" w:hAnsi="Kievit Offc" w:cs="Calibri"/>
          <w:sz w:val="20"/>
          <w:szCs w:val="20"/>
        </w:rPr>
      </w:pPr>
    </w:p>
    <w:sectPr w:rsidR="00F26548" w:rsidRPr="00952512" w:rsidSect="00923B5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DD77" w14:textId="77777777" w:rsidR="00580588" w:rsidRDefault="00580588" w:rsidP="0003727E">
      <w:pPr>
        <w:spacing w:after="0" w:line="240" w:lineRule="auto"/>
      </w:pPr>
      <w:r>
        <w:separator/>
      </w:r>
    </w:p>
  </w:endnote>
  <w:endnote w:type="continuationSeparator" w:id="0">
    <w:p w14:paraId="01579D31" w14:textId="77777777" w:rsidR="00580588" w:rsidRDefault="00580588" w:rsidP="0003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atum2 Regular">
    <w:altName w:val="Calibri"/>
    <w:panose1 w:val="020B0604020202020204"/>
    <w:charset w:val="4D"/>
    <w:family w:val="swiss"/>
    <w:notTrueType/>
    <w:pitch w:val="variable"/>
    <w:sig w:usb0="00000007" w:usb1="00000000" w:usb2="00000000" w:usb3="00000000" w:csb0="00000093" w:csb1="00000000"/>
  </w:font>
  <w:font w:name="Kievit Offc">
    <w:altName w:val="Cambria"/>
    <w:panose1 w:val="020B0604020202020204"/>
    <w:charset w:val="00"/>
    <w:family w:val="swiss"/>
    <w:pitch w:val="variable"/>
    <w:sig w:usb0="A00000EF" w:usb1="4000205B" w:usb2="00000000" w:usb3="00000000" w:csb0="00000001" w:csb1="00000000"/>
  </w:font>
  <w:font w:name="Leitura Sans Grot 1">
    <w:altName w:val="Franklin Gothic Medium Cond"/>
    <w:panose1 w:val="020B0604020202020204"/>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87CD" w14:textId="77777777" w:rsidR="0003727E" w:rsidRDefault="0003727E" w:rsidP="0003727E">
    <w:pPr>
      <w:pStyle w:val="Footer"/>
      <w:rPr>
        <w:rFonts w:ascii="Leitura Sans Grot 1" w:hAnsi="Leitura Sans Grot 1"/>
        <w:color w:val="000000" w:themeColor="text1"/>
        <w:sz w:val="20"/>
        <w:szCs w:val="20"/>
      </w:rPr>
    </w:pPr>
    <w:r w:rsidRPr="0066101E">
      <w:rPr>
        <w:noProof/>
        <w:color w:val="DC4405"/>
      </w:rPr>
      <w:drawing>
        <wp:anchor distT="0" distB="0" distL="114300" distR="114300" simplePos="0" relativeHeight="251659264" behindDoc="0" locked="1" layoutInCell="1" allowOverlap="1" wp14:anchorId="011DFBD7" wp14:editId="76531735">
          <wp:simplePos x="0" y="0"/>
          <wp:positionH relativeFrom="page">
            <wp:posOffset>5683885</wp:posOffset>
          </wp:positionH>
          <wp:positionV relativeFrom="page">
            <wp:posOffset>8949690</wp:posOffset>
          </wp:positionV>
          <wp:extent cx="1633220" cy="5041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1633220" cy="504190"/>
                  </a:xfrm>
                  <a:prstGeom prst="rect">
                    <a:avLst/>
                  </a:prstGeom>
                </pic:spPr>
              </pic:pic>
            </a:graphicData>
          </a:graphic>
          <wp14:sizeRelH relativeFrom="page">
            <wp14:pctWidth>0</wp14:pctWidth>
          </wp14:sizeRelH>
          <wp14:sizeRelV relativeFrom="page">
            <wp14:pctHeight>0</wp14:pctHeight>
          </wp14:sizeRelV>
        </wp:anchor>
      </w:drawing>
    </w:r>
  </w:p>
  <w:p w14:paraId="25C38723" w14:textId="77777777" w:rsidR="0003727E" w:rsidRDefault="0003727E" w:rsidP="0003727E">
    <w:pPr>
      <w:spacing w:line="200" w:lineRule="exact"/>
      <w:ind w:right="360"/>
      <w:rPr>
        <w:sz w:val="20"/>
        <w:szCs w:val="20"/>
      </w:rPr>
    </w:pPr>
  </w:p>
  <w:p w14:paraId="5923FE03" w14:textId="77777777" w:rsidR="0003727E" w:rsidRPr="009272A5" w:rsidRDefault="0003727E" w:rsidP="0003727E">
    <w:pPr>
      <w:pStyle w:val="Footer"/>
    </w:pPr>
  </w:p>
  <w:p w14:paraId="54D4B10D" w14:textId="77777777" w:rsidR="0003727E" w:rsidRDefault="0003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E369" w14:textId="77777777" w:rsidR="00580588" w:rsidRDefault="00580588" w:rsidP="0003727E">
      <w:pPr>
        <w:spacing w:after="0" w:line="240" w:lineRule="auto"/>
      </w:pPr>
      <w:r>
        <w:separator/>
      </w:r>
    </w:p>
  </w:footnote>
  <w:footnote w:type="continuationSeparator" w:id="0">
    <w:p w14:paraId="14AF0930" w14:textId="77777777" w:rsidR="00580588" w:rsidRDefault="00580588" w:rsidP="0003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066"/>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15:restartNumberingAfterBreak="0">
    <w:nsid w:val="15B44828"/>
    <w:multiLevelType w:val="multilevel"/>
    <w:tmpl w:val="92203F2A"/>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1A7370E4"/>
    <w:multiLevelType w:val="multilevel"/>
    <w:tmpl w:val="4B18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56A96"/>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15:restartNumberingAfterBreak="0">
    <w:nsid w:val="1C935868"/>
    <w:multiLevelType w:val="multilevel"/>
    <w:tmpl w:val="74960264"/>
    <w:lvl w:ilvl="0">
      <w:start w:val="1"/>
      <w:numFmt w:val="decimal"/>
      <w:lvlText w:val="%1."/>
      <w:lvlJc w:val="left"/>
      <w:pPr>
        <w:ind w:left="720" w:hanging="360"/>
      </w:pPr>
      <w:rPr>
        <w:rFonts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15:restartNumberingAfterBreak="0">
    <w:nsid w:val="1DBB55F7"/>
    <w:multiLevelType w:val="multilevel"/>
    <w:tmpl w:val="74960264"/>
    <w:lvl w:ilvl="0">
      <w:start w:val="1"/>
      <w:numFmt w:val="decimal"/>
      <w:lvlText w:val="%1."/>
      <w:lvlJc w:val="left"/>
      <w:pPr>
        <w:ind w:left="720" w:hanging="360"/>
      </w:pPr>
      <w:rPr>
        <w:rFonts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D891C3C"/>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3A57633F"/>
    <w:multiLevelType w:val="hybridMultilevel"/>
    <w:tmpl w:val="D862CB8E"/>
    <w:lvl w:ilvl="0" w:tplc="04090005">
      <w:start w:val="1"/>
      <w:numFmt w:val="bullet"/>
      <w:lvlText w:val=""/>
      <w:lvlJc w:val="left"/>
      <w:pPr>
        <w:ind w:left="879" w:hanging="360"/>
      </w:pPr>
      <w:rPr>
        <w:rFonts w:ascii="Wingdings" w:hAnsi="Wingdings" w:hint="default"/>
        <w:color w:val="D85A1A"/>
        <w:w w:val="100"/>
        <w:sz w:val="22"/>
        <w:szCs w:val="22"/>
        <w:lang w:val="en-US" w:eastAsia="en-US" w:bidi="en-US"/>
      </w:rPr>
    </w:lvl>
    <w:lvl w:ilvl="1" w:tplc="FE76A972">
      <w:start w:val="1"/>
      <w:numFmt w:val="upperLetter"/>
      <w:lvlText w:val="%2"/>
      <w:lvlJc w:val="left"/>
      <w:pPr>
        <w:ind w:left="879" w:hanging="720"/>
      </w:pPr>
      <w:rPr>
        <w:rFonts w:ascii="Times New Roman" w:eastAsia="Times New Roman" w:hAnsi="Times New Roman" w:cs="Times New Roman" w:hint="default"/>
        <w:w w:val="100"/>
        <w:sz w:val="22"/>
        <w:szCs w:val="22"/>
        <w:lang w:val="en-US" w:eastAsia="en-US" w:bidi="en-US"/>
      </w:rPr>
    </w:lvl>
    <w:lvl w:ilvl="2" w:tplc="15722C2C">
      <w:numFmt w:val="bullet"/>
      <w:lvlText w:val="•"/>
      <w:lvlJc w:val="left"/>
      <w:pPr>
        <w:ind w:left="2956" w:hanging="720"/>
      </w:pPr>
      <w:rPr>
        <w:rFonts w:hint="default"/>
        <w:lang w:val="en-US" w:eastAsia="en-US" w:bidi="en-US"/>
      </w:rPr>
    </w:lvl>
    <w:lvl w:ilvl="3" w:tplc="F412F6C6">
      <w:numFmt w:val="bullet"/>
      <w:lvlText w:val="•"/>
      <w:lvlJc w:val="left"/>
      <w:pPr>
        <w:ind w:left="3994" w:hanging="720"/>
      </w:pPr>
      <w:rPr>
        <w:rFonts w:hint="default"/>
        <w:lang w:val="en-US" w:eastAsia="en-US" w:bidi="en-US"/>
      </w:rPr>
    </w:lvl>
    <w:lvl w:ilvl="4" w:tplc="8AF0A800">
      <w:numFmt w:val="bullet"/>
      <w:lvlText w:val="•"/>
      <w:lvlJc w:val="left"/>
      <w:pPr>
        <w:ind w:left="5032" w:hanging="720"/>
      </w:pPr>
      <w:rPr>
        <w:rFonts w:hint="default"/>
        <w:lang w:val="en-US" w:eastAsia="en-US" w:bidi="en-US"/>
      </w:rPr>
    </w:lvl>
    <w:lvl w:ilvl="5" w:tplc="7982FAAE">
      <w:numFmt w:val="bullet"/>
      <w:lvlText w:val="•"/>
      <w:lvlJc w:val="left"/>
      <w:pPr>
        <w:ind w:left="6070" w:hanging="720"/>
      </w:pPr>
      <w:rPr>
        <w:rFonts w:hint="default"/>
        <w:lang w:val="en-US" w:eastAsia="en-US" w:bidi="en-US"/>
      </w:rPr>
    </w:lvl>
    <w:lvl w:ilvl="6" w:tplc="848EB890">
      <w:numFmt w:val="bullet"/>
      <w:lvlText w:val="•"/>
      <w:lvlJc w:val="left"/>
      <w:pPr>
        <w:ind w:left="7108" w:hanging="720"/>
      </w:pPr>
      <w:rPr>
        <w:rFonts w:hint="default"/>
        <w:lang w:val="en-US" w:eastAsia="en-US" w:bidi="en-US"/>
      </w:rPr>
    </w:lvl>
    <w:lvl w:ilvl="7" w:tplc="EFEE3156">
      <w:numFmt w:val="bullet"/>
      <w:lvlText w:val="•"/>
      <w:lvlJc w:val="left"/>
      <w:pPr>
        <w:ind w:left="8146" w:hanging="720"/>
      </w:pPr>
      <w:rPr>
        <w:rFonts w:hint="default"/>
        <w:lang w:val="en-US" w:eastAsia="en-US" w:bidi="en-US"/>
      </w:rPr>
    </w:lvl>
    <w:lvl w:ilvl="8" w:tplc="396C4FB4">
      <w:numFmt w:val="bullet"/>
      <w:lvlText w:val="•"/>
      <w:lvlJc w:val="left"/>
      <w:pPr>
        <w:ind w:left="9184" w:hanging="720"/>
      </w:pPr>
      <w:rPr>
        <w:rFonts w:hint="default"/>
        <w:lang w:val="en-US" w:eastAsia="en-US" w:bidi="en-US"/>
      </w:rPr>
    </w:lvl>
  </w:abstractNum>
  <w:abstractNum w:abstractNumId="8" w15:restartNumberingAfterBreak="0">
    <w:nsid w:val="3AF3421E"/>
    <w:multiLevelType w:val="multilevel"/>
    <w:tmpl w:val="92203F2A"/>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3E86573D"/>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15:restartNumberingAfterBreak="0">
    <w:nsid w:val="47A421D2"/>
    <w:multiLevelType w:val="multilevel"/>
    <w:tmpl w:val="758E33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15:restartNumberingAfterBreak="0">
    <w:nsid w:val="4970146D"/>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15:restartNumberingAfterBreak="0">
    <w:nsid w:val="4CE951CA"/>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15:restartNumberingAfterBreak="0">
    <w:nsid w:val="54407204"/>
    <w:multiLevelType w:val="multilevel"/>
    <w:tmpl w:val="958CCB38"/>
    <w:lvl w:ilvl="0">
      <w:start w:val="1"/>
      <w:numFmt w:val="bullet"/>
      <w:lvlText w:val=""/>
      <w:lvlJc w:val="left"/>
      <w:pPr>
        <w:ind w:left="720" w:hanging="360"/>
      </w:pPr>
      <w:rPr>
        <w:rFonts w:ascii="Wingdings 2" w:hAnsi="Wingdings 2"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15:restartNumberingAfterBreak="0">
    <w:nsid w:val="553111F1"/>
    <w:multiLevelType w:val="multilevel"/>
    <w:tmpl w:val="221CF8E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15:restartNumberingAfterBreak="0">
    <w:nsid w:val="5B564C78"/>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6" w15:restartNumberingAfterBreak="0">
    <w:nsid w:val="5F4B117B"/>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7" w15:restartNumberingAfterBreak="0">
    <w:nsid w:val="63185DC5"/>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8" w15:restartNumberingAfterBreak="0">
    <w:nsid w:val="73DA4F1E"/>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9" w15:restartNumberingAfterBreak="0">
    <w:nsid w:val="7BAF4E75"/>
    <w:multiLevelType w:val="multilevel"/>
    <w:tmpl w:val="BFA003A8"/>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16cid:durableId="1605381013">
    <w:abstractNumId w:val="4"/>
  </w:num>
  <w:num w:numId="2" w16cid:durableId="1469858123">
    <w:abstractNumId w:val="5"/>
  </w:num>
  <w:num w:numId="3" w16cid:durableId="41565433">
    <w:abstractNumId w:val="12"/>
  </w:num>
  <w:num w:numId="4" w16cid:durableId="1221594065">
    <w:abstractNumId w:val="0"/>
  </w:num>
  <w:num w:numId="5" w16cid:durableId="577132417">
    <w:abstractNumId w:val="17"/>
  </w:num>
  <w:num w:numId="6" w16cid:durableId="1604804504">
    <w:abstractNumId w:val="11"/>
  </w:num>
  <w:num w:numId="7" w16cid:durableId="990717171">
    <w:abstractNumId w:val="18"/>
  </w:num>
  <w:num w:numId="8" w16cid:durableId="770667660">
    <w:abstractNumId w:val="16"/>
  </w:num>
  <w:num w:numId="9" w16cid:durableId="703093365">
    <w:abstractNumId w:val="3"/>
  </w:num>
  <w:num w:numId="10" w16cid:durableId="2026007233">
    <w:abstractNumId w:val="15"/>
  </w:num>
  <w:num w:numId="11" w16cid:durableId="936789992">
    <w:abstractNumId w:val="19"/>
  </w:num>
  <w:num w:numId="12" w16cid:durableId="1901552075">
    <w:abstractNumId w:val="6"/>
  </w:num>
  <w:num w:numId="13" w16cid:durableId="2009818870">
    <w:abstractNumId w:val="9"/>
  </w:num>
  <w:num w:numId="14" w16cid:durableId="1797718864">
    <w:abstractNumId w:val="7"/>
  </w:num>
  <w:num w:numId="15" w16cid:durableId="641689595">
    <w:abstractNumId w:val="10"/>
  </w:num>
  <w:num w:numId="16" w16cid:durableId="20134474">
    <w:abstractNumId w:val="13"/>
  </w:num>
  <w:num w:numId="17" w16cid:durableId="936790725">
    <w:abstractNumId w:val="14"/>
  </w:num>
  <w:num w:numId="18" w16cid:durableId="2137794500">
    <w:abstractNumId w:val="8"/>
  </w:num>
  <w:num w:numId="19" w16cid:durableId="1307010889">
    <w:abstractNumId w:val="1"/>
  </w:num>
  <w:num w:numId="20" w16cid:durableId="416875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2D"/>
    <w:rsid w:val="0001526C"/>
    <w:rsid w:val="00021273"/>
    <w:rsid w:val="0003727E"/>
    <w:rsid w:val="00050A9D"/>
    <w:rsid w:val="000568A5"/>
    <w:rsid w:val="000816F6"/>
    <w:rsid w:val="00087018"/>
    <w:rsid w:val="000A5D7A"/>
    <w:rsid w:val="000B5EFF"/>
    <w:rsid w:val="000F12A8"/>
    <w:rsid w:val="001161F9"/>
    <w:rsid w:val="001375A3"/>
    <w:rsid w:val="001B11C0"/>
    <w:rsid w:val="001E122D"/>
    <w:rsid w:val="001F3BF1"/>
    <w:rsid w:val="00225694"/>
    <w:rsid w:val="00231D6C"/>
    <w:rsid w:val="00240475"/>
    <w:rsid w:val="00240803"/>
    <w:rsid w:val="002959E2"/>
    <w:rsid w:val="002B1ADD"/>
    <w:rsid w:val="00315AB3"/>
    <w:rsid w:val="003333C3"/>
    <w:rsid w:val="00357A51"/>
    <w:rsid w:val="003727DA"/>
    <w:rsid w:val="003908C5"/>
    <w:rsid w:val="003B6806"/>
    <w:rsid w:val="0040406B"/>
    <w:rsid w:val="004365B4"/>
    <w:rsid w:val="00495CB9"/>
    <w:rsid w:val="004E6B35"/>
    <w:rsid w:val="004F3679"/>
    <w:rsid w:val="00504184"/>
    <w:rsid w:val="00507D49"/>
    <w:rsid w:val="00534491"/>
    <w:rsid w:val="005613EF"/>
    <w:rsid w:val="00564AB7"/>
    <w:rsid w:val="00577390"/>
    <w:rsid w:val="00577453"/>
    <w:rsid w:val="00580588"/>
    <w:rsid w:val="00586D4C"/>
    <w:rsid w:val="0059033A"/>
    <w:rsid w:val="005914C1"/>
    <w:rsid w:val="005F681B"/>
    <w:rsid w:val="00631DD8"/>
    <w:rsid w:val="006F6F34"/>
    <w:rsid w:val="007144D0"/>
    <w:rsid w:val="0072215A"/>
    <w:rsid w:val="0078625E"/>
    <w:rsid w:val="00793915"/>
    <w:rsid w:val="007E5F54"/>
    <w:rsid w:val="00810FD9"/>
    <w:rsid w:val="008167DF"/>
    <w:rsid w:val="00822246"/>
    <w:rsid w:val="00843A8E"/>
    <w:rsid w:val="00864599"/>
    <w:rsid w:val="008850F0"/>
    <w:rsid w:val="008B4BCB"/>
    <w:rsid w:val="008C5B7B"/>
    <w:rsid w:val="008C7709"/>
    <w:rsid w:val="00923B53"/>
    <w:rsid w:val="00952512"/>
    <w:rsid w:val="009938EF"/>
    <w:rsid w:val="009B3C29"/>
    <w:rsid w:val="00A66E49"/>
    <w:rsid w:val="00A737E1"/>
    <w:rsid w:val="00AA6145"/>
    <w:rsid w:val="00AC4CDC"/>
    <w:rsid w:val="00B17248"/>
    <w:rsid w:val="00B2087F"/>
    <w:rsid w:val="00B3233D"/>
    <w:rsid w:val="00B403FE"/>
    <w:rsid w:val="00B66FF5"/>
    <w:rsid w:val="00B76DDC"/>
    <w:rsid w:val="00BA05B2"/>
    <w:rsid w:val="00BA3F1C"/>
    <w:rsid w:val="00BA7297"/>
    <w:rsid w:val="00BB0B2D"/>
    <w:rsid w:val="00C120E8"/>
    <w:rsid w:val="00C21A59"/>
    <w:rsid w:val="00C3099C"/>
    <w:rsid w:val="00C873CC"/>
    <w:rsid w:val="00CB6E44"/>
    <w:rsid w:val="00CE5636"/>
    <w:rsid w:val="00CF1020"/>
    <w:rsid w:val="00D74DE9"/>
    <w:rsid w:val="00D77A03"/>
    <w:rsid w:val="00DB6E8B"/>
    <w:rsid w:val="00DD7C68"/>
    <w:rsid w:val="00DF2D22"/>
    <w:rsid w:val="00E325EA"/>
    <w:rsid w:val="00E77AE3"/>
    <w:rsid w:val="00EA5008"/>
    <w:rsid w:val="00F24DDD"/>
    <w:rsid w:val="00F26548"/>
    <w:rsid w:val="00FC3959"/>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DB65"/>
  <w15:docId w15:val="{05B5D7A0-B031-40DB-AC28-0A78FA29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4C1"/>
    <w:pPr>
      <w:spacing w:after="0" w:line="240" w:lineRule="auto"/>
      <w:ind w:left="720"/>
      <w:contextualSpacing/>
    </w:pPr>
    <w:rPr>
      <w:sz w:val="24"/>
      <w:szCs w:val="24"/>
    </w:rPr>
  </w:style>
  <w:style w:type="paragraph" w:customStyle="1" w:styleId="Normal1">
    <w:name w:val="Normal1"/>
    <w:rsid w:val="005914C1"/>
    <w:pPr>
      <w:widowControl w:val="0"/>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03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7E"/>
  </w:style>
  <w:style w:type="paragraph" w:styleId="Footer">
    <w:name w:val="footer"/>
    <w:basedOn w:val="Normal"/>
    <w:link w:val="FooterChar"/>
    <w:uiPriority w:val="99"/>
    <w:unhideWhenUsed/>
    <w:rsid w:val="0003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7E"/>
  </w:style>
  <w:style w:type="character" w:styleId="CommentReference">
    <w:name w:val="annotation reference"/>
    <w:basedOn w:val="DefaultParagraphFont"/>
    <w:uiPriority w:val="99"/>
    <w:semiHidden/>
    <w:unhideWhenUsed/>
    <w:rsid w:val="00D74DE9"/>
    <w:rPr>
      <w:sz w:val="16"/>
      <w:szCs w:val="16"/>
    </w:rPr>
  </w:style>
  <w:style w:type="paragraph" w:styleId="CommentText">
    <w:name w:val="annotation text"/>
    <w:basedOn w:val="Normal"/>
    <w:link w:val="CommentTextChar"/>
    <w:uiPriority w:val="99"/>
    <w:semiHidden/>
    <w:unhideWhenUsed/>
    <w:rsid w:val="00D74DE9"/>
    <w:pPr>
      <w:spacing w:line="240" w:lineRule="auto"/>
    </w:pPr>
    <w:rPr>
      <w:sz w:val="20"/>
      <w:szCs w:val="20"/>
    </w:rPr>
  </w:style>
  <w:style w:type="character" w:customStyle="1" w:styleId="CommentTextChar">
    <w:name w:val="Comment Text Char"/>
    <w:basedOn w:val="DefaultParagraphFont"/>
    <w:link w:val="CommentText"/>
    <w:uiPriority w:val="99"/>
    <w:semiHidden/>
    <w:rsid w:val="00D74DE9"/>
    <w:rPr>
      <w:sz w:val="20"/>
      <w:szCs w:val="20"/>
    </w:rPr>
  </w:style>
  <w:style w:type="paragraph" w:styleId="CommentSubject">
    <w:name w:val="annotation subject"/>
    <w:basedOn w:val="CommentText"/>
    <w:next w:val="CommentText"/>
    <w:link w:val="CommentSubjectChar"/>
    <w:uiPriority w:val="99"/>
    <w:semiHidden/>
    <w:unhideWhenUsed/>
    <w:rsid w:val="00D74DE9"/>
    <w:rPr>
      <w:b/>
      <w:bCs/>
    </w:rPr>
  </w:style>
  <w:style w:type="character" w:customStyle="1" w:styleId="CommentSubjectChar">
    <w:name w:val="Comment Subject Char"/>
    <w:basedOn w:val="CommentTextChar"/>
    <w:link w:val="CommentSubject"/>
    <w:uiPriority w:val="99"/>
    <w:semiHidden/>
    <w:rsid w:val="00D74DE9"/>
    <w:rPr>
      <w:b/>
      <w:bCs/>
      <w:sz w:val="20"/>
      <w:szCs w:val="20"/>
    </w:rPr>
  </w:style>
  <w:style w:type="paragraph" w:styleId="BalloonText">
    <w:name w:val="Balloon Text"/>
    <w:basedOn w:val="Normal"/>
    <w:link w:val="BalloonTextChar"/>
    <w:uiPriority w:val="99"/>
    <w:semiHidden/>
    <w:unhideWhenUsed/>
    <w:rsid w:val="00D7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59">
      <w:bodyDiv w:val="1"/>
      <w:marLeft w:val="0"/>
      <w:marRight w:val="0"/>
      <w:marTop w:val="0"/>
      <w:marBottom w:val="0"/>
      <w:divBdr>
        <w:top w:val="none" w:sz="0" w:space="0" w:color="auto"/>
        <w:left w:val="none" w:sz="0" w:space="0" w:color="auto"/>
        <w:bottom w:val="none" w:sz="0" w:space="0" w:color="auto"/>
        <w:right w:val="none" w:sz="0" w:space="0" w:color="auto"/>
      </w:divBdr>
    </w:div>
    <w:div w:id="119567564">
      <w:bodyDiv w:val="1"/>
      <w:marLeft w:val="0"/>
      <w:marRight w:val="0"/>
      <w:marTop w:val="0"/>
      <w:marBottom w:val="0"/>
      <w:divBdr>
        <w:top w:val="none" w:sz="0" w:space="0" w:color="auto"/>
        <w:left w:val="none" w:sz="0" w:space="0" w:color="auto"/>
        <w:bottom w:val="none" w:sz="0" w:space="0" w:color="auto"/>
        <w:right w:val="none" w:sz="0" w:space="0" w:color="auto"/>
      </w:divBdr>
    </w:div>
    <w:div w:id="241331854">
      <w:bodyDiv w:val="1"/>
      <w:marLeft w:val="0"/>
      <w:marRight w:val="0"/>
      <w:marTop w:val="0"/>
      <w:marBottom w:val="0"/>
      <w:divBdr>
        <w:top w:val="none" w:sz="0" w:space="0" w:color="auto"/>
        <w:left w:val="none" w:sz="0" w:space="0" w:color="auto"/>
        <w:bottom w:val="none" w:sz="0" w:space="0" w:color="auto"/>
        <w:right w:val="none" w:sz="0" w:space="0" w:color="auto"/>
      </w:divBdr>
    </w:div>
    <w:div w:id="505022160">
      <w:bodyDiv w:val="1"/>
      <w:marLeft w:val="0"/>
      <w:marRight w:val="0"/>
      <w:marTop w:val="0"/>
      <w:marBottom w:val="0"/>
      <w:divBdr>
        <w:top w:val="none" w:sz="0" w:space="0" w:color="auto"/>
        <w:left w:val="none" w:sz="0" w:space="0" w:color="auto"/>
        <w:bottom w:val="none" w:sz="0" w:space="0" w:color="auto"/>
        <w:right w:val="none" w:sz="0" w:space="0" w:color="auto"/>
      </w:divBdr>
    </w:div>
    <w:div w:id="645355180">
      <w:bodyDiv w:val="1"/>
      <w:marLeft w:val="0"/>
      <w:marRight w:val="0"/>
      <w:marTop w:val="0"/>
      <w:marBottom w:val="0"/>
      <w:divBdr>
        <w:top w:val="none" w:sz="0" w:space="0" w:color="auto"/>
        <w:left w:val="none" w:sz="0" w:space="0" w:color="auto"/>
        <w:bottom w:val="none" w:sz="0" w:space="0" w:color="auto"/>
        <w:right w:val="none" w:sz="0" w:space="0" w:color="auto"/>
      </w:divBdr>
    </w:div>
    <w:div w:id="690231161">
      <w:bodyDiv w:val="1"/>
      <w:marLeft w:val="0"/>
      <w:marRight w:val="0"/>
      <w:marTop w:val="0"/>
      <w:marBottom w:val="0"/>
      <w:divBdr>
        <w:top w:val="none" w:sz="0" w:space="0" w:color="auto"/>
        <w:left w:val="none" w:sz="0" w:space="0" w:color="auto"/>
        <w:bottom w:val="none" w:sz="0" w:space="0" w:color="auto"/>
        <w:right w:val="none" w:sz="0" w:space="0" w:color="auto"/>
      </w:divBdr>
    </w:div>
    <w:div w:id="780881497">
      <w:bodyDiv w:val="1"/>
      <w:marLeft w:val="0"/>
      <w:marRight w:val="0"/>
      <w:marTop w:val="0"/>
      <w:marBottom w:val="0"/>
      <w:divBdr>
        <w:top w:val="none" w:sz="0" w:space="0" w:color="auto"/>
        <w:left w:val="none" w:sz="0" w:space="0" w:color="auto"/>
        <w:bottom w:val="none" w:sz="0" w:space="0" w:color="auto"/>
        <w:right w:val="none" w:sz="0" w:space="0" w:color="auto"/>
      </w:divBdr>
    </w:div>
    <w:div w:id="931738903">
      <w:bodyDiv w:val="1"/>
      <w:marLeft w:val="0"/>
      <w:marRight w:val="0"/>
      <w:marTop w:val="0"/>
      <w:marBottom w:val="0"/>
      <w:divBdr>
        <w:top w:val="none" w:sz="0" w:space="0" w:color="auto"/>
        <w:left w:val="none" w:sz="0" w:space="0" w:color="auto"/>
        <w:bottom w:val="none" w:sz="0" w:space="0" w:color="auto"/>
        <w:right w:val="none" w:sz="0" w:space="0" w:color="auto"/>
      </w:divBdr>
    </w:div>
    <w:div w:id="1097629554">
      <w:bodyDiv w:val="1"/>
      <w:marLeft w:val="0"/>
      <w:marRight w:val="0"/>
      <w:marTop w:val="0"/>
      <w:marBottom w:val="0"/>
      <w:divBdr>
        <w:top w:val="none" w:sz="0" w:space="0" w:color="auto"/>
        <w:left w:val="none" w:sz="0" w:space="0" w:color="auto"/>
        <w:bottom w:val="none" w:sz="0" w:space="0" w:color="auto"/>
        <w:right w:val="none" w:sz="0" w:space="0" w:color="auto"/>
      </w:divBdr>
    </w:div>
    <w:div w:id="1126390442">
      <w:bodyDiv w:val="1"/>
      <w:marLeft w:val="0"/>
      <w:marRight w:val="0"/>
      <w:marTop w:val="0"/>
      <w:marBottom w:val="0"/>
      <w:divBdr>
        <w:top w:val="none" w:sz="0" w:space="0" w:color="auto"/>
        <w:left w:val="none" w:sz="0" w:space="0" w:color="auto"/>
        <w:bottom w:val="none" w:sz="0" w:space="0" w:color="auto"/>
        <w:right w:val="none" w:sz="0" w:space="0" w:color="auto"/>
      </w:divBdr>
    </w:div>
    <w:div w:id="1154297795">
      <w:bodyDiv w:val="1"/>
      <w:marLeft w:val="0"/>
      <w:marRight w:val="0"/>
      <w:marTop w:val="0"/>
      <w:marBottom w:val="0"/>
      <w:divBdr>
        <w:top w:val="none" w:sz="0" w:space="0" w:color="auto"/>
        <w:left w:val="none" w:sz="0" w:space="0" w:color="auto"/>
        <w:bottom w:val="none" w:sz="0" w:space="0" w:color="auto"/>
        <w:right w:val="none" w:sz="0" w:space="0" w:color="auto"/>
      </w:divBdr>
    </w:div>
    <w:div w:id="1199394470">
      <w:bodyDiv w:val="1"/>
      <w:marLeft w:val="0"/>
      <w:marRight w:val="0"/>
      <w:marTop w:val="0"/>
      <w:marBottom w:val="0"/>
      <w:divBdr>
        <w:top w:val="none" w:sz="0" w:space="0" w:color="auto"/>
        <w:left w:val="none" w:sz="0" w:space="0" w:color="auto"/>
        <w:bottom w:val="none" w:sz="0" w:space="0" w:color="auto"/>
        <w:right w:val="none" w:sz="0" w:space="0" w:color="auto"/>
      </w:divBdr>
    </w:div>
    <w:div w:id="1454518665">
      <w:bodyDiv w:val="1"/>
      <w:marLeft w:val="0"/>
      <w:marRight w:val="0"/>
      <w:marTop w:val="0"/>
      <w:marBottom w:val="0"/>
      <w:divBdr>
        <w:top w:val="none" w:sz="0" w:space="0" w:color="auto"/>
        <w:left w:val="none" w:sz="0" w:space="0" w:color="auto"/>
        <w:bottom w:val="none" w:sz="0" w:space="0" w:color="auto"/>
        <w:right w:val="none" w:sz="0" w:space="0" w:color="auto"/>
      </w:divBdr>
    </w:div>
    <w:div w:id="1731925777">
      <w:bodyDiv w:val="1"/>
      <w:marLeft w:val="0"/>
      <w:marRight w:val="0"/>
      <w:marTop w:val="0"/>
      <w:marBottom w:val="0"/>
      <w:divBdr>
        <w:top w:val="none" w:sz="0" w:space="0" w:color="auto"/>
        <w:left w:val="none" w:sz="0" w:space="0" w:color="auto"/>
        <w:bottom w:val="none" w:sz="0" w:space="0" w:color="auto"/>
        <w:right w:val="none" w:sz="0" w:space="0" w:color="auto"/>
      </w:divBdr>
    </w:div>
    <w:div w:id="1869101440">
      <w:bodyDiv w:val="1"/>
      <w:marLeft w:val="0"/>
      <w:marRight w:val="0"/>
      <w:marTop w:val="0"/>
      <w:marBottom w:val="0"/>
      <w:divBdr>
        <w:top w:val="none" w:sz="0" w:space="0" w:color="auto"/>
        <w:left w:val="none" w:sz="0" w:space="0" w:color="auto"/>
        <w:bottom w:val="none" w:sz="0" w:space="0" w:color="auto"/>
        <w:right w:val="none" w:sz="0" w:space="0" w:color="auto"/>
      </w:divBdr>
    </w:div>
    <w:div w:id="1894348802">
      <w:bodyDiv w:val="1"/>
      <w:marLeft w:val="0"/>
      <w:marRight w:val="0"/>
      <w:marTop w:val="0"/>
      <w:marBottom w:val="0"/>
      <w:divBdr>
        <w:top w:val="none" w:sz="0" w:space="0" w:color="auto"/>
        <w:left w:val="none" w:sz="0" w:space="0" w:color="auto"/>
        <w:bottom w:val="none" w:sz="0" w:space="0" w:color="auto"/>
        <w:right w:val="none" w:sz="0" w:space="0" w:color="auto"/>
      </w:divBdr>
    </w:div>
    <w:div w:id="1994680557">
      <w:bodyDiv w:val="1"/>
      <w:marLeft w:val="0"/>
      <w:marRight w:val="0"/>
      <w:marTop w:val="0"/>
      <w:marBottom w:val="0"/>
      <w:divBdr>
        <w:top w:val="none" w:sz="0" w:space="0" w:color="auto"/>
        <w:left w:val="none" w:sz="0" w:space="0" w:color="auto"/>
        <w:bottom w:val="none" w:sz="0" w:space="0" w:color="auto"/>
        <w:right w:val="none" w:sz="0" w:space="0" w:color="auto"/>
      </w:divBdr>
    </w:div>
    <w:div w:id="2056657079">
      <w:bodyDiv w:val="1"/>
      <w:marLeft w:val="0"/>
      <w:marRight w:val="0"/>
      <w:marTop w:val="0"/>
      <w:marBottom w:val="0"/>
      <w:divBdr>
        <w:top w:val="none" w:sz="0" w:space="0" w:color="auto"/>
        <w:left w:val="none" w:sz="0" w:space="0" w:color="auto"/>
        <w:bottom w:val="none" w:sz="0" w:space="0" w:color="auto"/>
        <w:right w:val="none" w:sz="0" w:space="0" w:color="auto"/>
      </w:divBdr>
    </w:div>
    <w:div w:id="2079328986">
      <w:bodyDiv w:val="1"/>
      <w:marLeft w:val="0"/>
      <w:marRight w:val="0"/>
      <w:marTop w:val="0"/>
      <w:marBottom w:val="0"/>
      <w:divBdr>
        <w:top w:val="none" w:sz="0" w:space="0" w:color="auto"/>
        <w:left w:val="none" w:sz="0" w:space="0" w:color="auto"/>
        <w:bottom w:val="none" w:sz="0" w:space="0" w:color="auto"/>
        <w:right w:val="none" w:sz="0" w:space="0" w:color="auto"/>
      </w:divBdr>
    </w:div>
    <w:div w:id="2099252525">
      <w:bodyDiv w:val="1"/>
      <w:marLeft w:val="0"/>
      <w:marRight w:val="0"/>
      <w:marTop w:val="0"/>
      <w:marBottom w:val="0"/>
      <w:divBdr>
        <w:top w:val="none" w:sz="0" w:space="0" w:color="auto"/>
        <w:left w:val="none" w:sz="0" w:space="0" w:color="auto"/>
        <w:bottom w:val="none" w:sz="0" w:space="0" w:color="auto"/>
        <w:right w:val="none" w:sz="0" w:space="0" w:color="auto"/>
      </w:divBdr>
    </w:div>
    <w:div w:id="2129348844">
      <w:bodyDiv w:val="1"/>
      <w:marLeft w:val="0"/>
      <w:marRight w:val="0"/>
      <w:marTop w:val="0"/>
      <w:marBottom w:val="0"/>
      <w:divBdr>
        <w:top w:val="none" w:sz="0" w:space="0" w:color="auto"/>
        <w:left w:val="none" w:sz="0" w:space="0" w:color="auto"/>
        <w:bottom w:val="none" w:sz="0" w:space="0" w:color="auto"/>
        <w:right w:val="none" w:sz="0" w:space="0" w:color="auto"/>
      </w:divBdr>
    </w:div>
    <w:div w:id="21383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Business</dc:creator>
  <cp:lastModifiedBy>Caruso, Lauren B - COB</cp:lastModifiedBy>
  <cp:revision>2</cp:revision>
  <cp:lastPrinted>2019-07-25T19:17:00Z</cp:lastPrinted>
  <dcterms:created xsi:type="dcterms:W3CDTF">2023-01-18T20:44:00Z</dcterms:created>
  <dcterms:modified xsi:type="dcterms:W3CDTF">2023-01-18T20:44:00Z</dcterms:modified>
</cp:coreProperties>
</file>