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1F" w:rsidRPr="00324D1F" w:rsidRDefault="00324D1F" w:rsidP="00324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24D1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-Year Review</w:t>
      </w:r>
      <w:r w:rsidR="00ED447A" w:rsidRPr="00ED447A">
        <w:rPr>
          <w:b/>
          <w:sz w:val="28"/>
          <w:szCs w:val="28"/>
        </w:rPr>
        <w:t xml:space="preserve"> Process</w:t>
      </w:r>
    </w:p>
    <w:p w:rsidR="00324D1F" w:rsidRDefault="00324D1F" w:rsidP="00342652">
      <w:pPr>
        <w:spacing w:after="0"/>
      </w:pPr>
      <w:r>
        <w:t>The 3</w:t>
      </w:r>
      <w:r w:rsidRPr="00324D1F">
        <w:rPr>
          <w:vertAlign w:val="superscript"/>
        </w:rPr>
        <w:t>rd</w:t>
      </w:r>
      <w:r>
        <w:t>-year review is essentially a “</w:t>
      </w:r>
      <w:r w:rsidR="009D6D71">
        <w:t>pre-</w:t>
      </w:r>
      <w:r>
        <w:t>tenure review” process which is used to assess whether the faculty member is making satisfactory progress towards promotion and tenure.  It consists of four elements:</w:t>
      </w:r>
    </w:p>
    <w:p w:rsidR="00324D1F" w:rsidRDefault="00324D1F" w:rsidP="00324D1F">
      <w:pPr>
        <w:pStyle w:val="ListParagraph"/>
        <w:numPr>
          <w:ilvl w:val="0"/>
          <w:numId w:val="2"/>
        </w:numPr>
        <w:spacing w:after="0"/>
      </w:pPr>
      <w:r>
        <w:t>Peer Review of Teaching – this should be scheduled for spring of the pri</w:t>
      </w:r>
      <w:r w:rsidR="00846E9B">
        <w:t xml:space="preserve">or year or fall of current year (we want to avoid scheduling for winter of the current year because this delays completing the dossier). </w:t>
      </w:r>
    </w:p>
    <w:p w:rsidR="00324D1F" w:rsidRDefault="00324D1F" w:rsidP="00324D1F">
      <w:pPr>
        <w:pStyle w:val="ListParagraph"/>
        <w:numPr>
          <w:ilvl w:val="0"/>
          <w:numId w:val="2"/>
        </w:numPr>
        <w:spacing w:after="0"/>
      </w:pPr>
      <w:r>
        <w:t>Promotion and Tenure Vita (from Digital Measures) – this should be all years in academia.</w:t>
      </w:r>
    </w:p>
    <w:p w:rsidR="00324D1F" w:rsidRDefault="00324D1F" w:rsidP="00324D1F">
      <w:pPr>
        <w:pStyle w:val="ListParagraph"/>
        <w:numPr>
          <w:ilvl w:val="0"/>
          <w:numId w:val="2"/>
        </w:numPr>
        <w:spacing w:after="0"/>
      </w:pPr>
      <w:r>
        <w:t>Three-page Candidate Statement:</w:t>
      </w:r>
    </w:p>
    <w:p w:rsidR="00324D1F" w:rsidRDefault="00324D1F" w:rsidP="00324D1F">
      <w:pPr>
        <w:pStyle w:val="ListParagraph"/>
        <w:numPr>
          <w:ilvl w:val="1"/>
          <w:numId w:val="2"/>
        </w:numPr>
        <w:spacing w:after="0"/>
      </w:pPr>
      <w:r>
        <w:t>Scholarship: 1.5 to 2 pages in length</w:t>
      </w:r>
    </w:p>
    <w:p w:rsidR="00C9526F" w:rsidRDefault="00C9526F" w:rsidP="00C9526F">
      <w:pPr>
        <w:pStyle w:val="ListParagraph"/>
        <w:numPr>
          <w:ilvl w:val="2"/>
          <w:numId w:val="2"/>
        </w:numPr>
        <w:spacing w:after="0"/>
      </w:pPr>
      <w:r>
        <w:t>Highlight themes and streams and current contributions.</w:t>
      </w:r>
    </w:p>
    <w:p w:rsidR="00C9526F" w:rsidRDefault="00C9526F" w:rsidP="00C9526F">
      <w:pPr>
        <w:pStyle w:val="ListParagraph"/>
        <w:numPr>
          <w:ilvl w:val="2"/>
          <w:numId w:val="2"/>
        </w:numPr>
        <w:spacing w:after="0"/>
      </w:pPr>
      <w:r>
        <w:t>Discuss plans going forward and pipeline research.</w:t>
      </w:r>
    </w:p>
    <w:p w:rsidR="00324D1F" w:rsidRDefault="00324D1F" w:rsidP="00324D1F">
      <w:pPr>
        <w:pStyle w:val="ListParagraph"/>
        <w:numPr>
          <w:ilvl w:val="1"/>
          <w:numId w:val="2"/>
        </w:numPr>
        <w:spacing w:after="0"/>
      </w:pPr>
      <w:r>
        <w:t>Teaching: .5 to .75 pages in length</w:t>
      </w:r>
    </w:p>
    <w:p w:rsidR="00C9526F" w:rsidRDefault="00C9526F" w:rsidP="00C9526F">
      <w:pPr>
        <w:pStyle w:val="ListParagraph"/>
        <w:numPr>
          <w:ilvl w:val="2"/>
          <w:numId w:val="2"/>
        </w:numPr>
        <w:spacing w:after="0"/>
      </w:pPr>
      <w:r>
        <w:t>C</w:t>
      </w:r>
      <w:r w:rsidR="00DD10F2">
        <w:t>ourses taught/</w:t>
      </w:r>
      <w:proofErr w:type="spellStart"/>
      <w:r w:rsidR="00DD10F2">
        <w:t>e</w:t>
      </w:r>
      <w:r w:rsidR="00E02B84">
        <w:t>SETs</w:t>
      </w:r>
      <w:proofErr w:type="spellEnd"/>
      <w:r w:rsidR="00E02B84">
        <w:t xml:space="preserve"> and discussion of teaching (what you emphasize).</w:t>
      </w:r>
    </w:p>
    <w:p w:rsidR="00C9526F" w:rsidRDefault="00C9526F" w:rsidP="00C9526F">
      <w:pPr>
        <w:pStyle w:val="ListParagraph"/>
        <w:numPr>
          <w:ilvl w:val="2"/>
          <w:numId w:val="2"/>
        </w:numPr>
        <w:spacing w:after="0"/>
      </w:pPr>
      <w:r>
        <w:t>Teaching philosophy.</w:t>
      </w:r>
    </w:p>
    <w:p w:rsidR="00C9526F" w:rsidRDefault="00C9526F" w:rsidP="00C9526F">
      <w:pPr>
        <w:pStyle w:val="ListParagraph"/>
        <w:numPr>
          <w:ilvl w:val="2"/>
          <w:numId w:val="2"/>
        </w:numPr>
        <w:spacing w:after="0"/>
      </w:pPr>
      <w:r>
        <w:t>Teaching contributions outside of class.</w:t>
      </w:r>
    </w:p>
    <w:p w:rsidR="00324D1F" w:rsidRDefault="00324D1F" w:rsidP="00324D1F">
      <w:pPr>
        <w:pStyle w:val="ListParagraph"/>
        <w:numPr>
          <w:ilvl w:val="1"/>
          <w:numId w:val="2"/>
        </w:numPr>
        <w:spacing w:after="0"/>
      </w:pPr>
      <w:r>
        <w:t>Service:  .5 pages in length</w:t>
      </w:r>
    </w:p>
    <w:p w:rsidR="00C9526F" w:rsidRDefault="00C9526F" w:rsidP="00C9526F">
      <w:pPr>
        <w:pStyle w:val="ListParagraph"/>
        <w:numPr>
          <w:ilvl w:val="2"/>
          <w:numId w:val="2"/>
        </w:numPr>
        <w:spacing w:after="0"/>
      </w:pPr>
      <w:r>
        <w:t xml:space="preserve">Low expectations but there should be some College/Discipline-related service and increasing professional service (this becomes more important as one approaches the tenure year). </w:t>
      </w:r>
    </w:p>
    <w:p w:rsidR="00115C20" w:rsidRDefault="00324D1F" w:rsidP="00324D1F">
      <w:pPr>
        <w:pStyle w:val="ListParagraph"/>
        <w:numPr>
          <w:ilvl w:val="1"/>
          <w:numId w:val="2"/>
        </w:numPr>
        <w:spacing w:after="0"/>
      </w:pPr>
      <w:r>
        <w:t xml:space="preserve">Commitment to Diversity: No longer than a paragraph.   </w:t>
      </w:r>
      <w:r w:rsidR="00662642" w:rsidRPr="00324D1F">
        <w:t xml:space="preserve">Such contributions can be part of teaching, advising, research, extension, and/or service.  They can be, but do not have to be, part of scholarly work.  </w:t>
      </w:r>
    </w:p>
    <w:p w:rsidR="00846E9B" w:rsidRPr="00324D1F" w:rsidRDefault="00846E9B" w:rsidP="00846E9B">
      <w:pPr>
        <w:pStyle w:val="ListParagraph"/>
        <w:numPr>
          <w:ilvl w:val="0"/>
          <w:numId w:val="2"/>
        </w:numPr>
        <w:spacing w:after="0"/>
      </w:pPr>
      <w:r>
        <w:t xml:space="preserve">Three pieces of research:  This should be the highest quality publications/manuscripts that a faculty member possesses. </w:t>
      </w:r>
    </w:p>
    <w:p w:rsidR="00324D1F" w:rsidRDefault="00324D1F" w:rsidP="00342652">
      <w:pPr>
        <w:spacing w:after="0"/>
        <w:rPr>
          <w:b/>
        </w:rPr>
      </w:pPr>
    </w:p>
    <w:p w:rsidR="00342652" w:rsidRPr="00AB6BBA" w:rsidRDefault="00846E9B" w:rsidP="00342652">
      <w:pPr>
        <w:spacing w:after="0"/>
        <w:rPr>
          <w:b/>
        </w:rPr>
      </w:pPr>
      <w:r>
        <w:rPr>
          <w:b/>
        </w:rPr>
        <w:t>3</w:t>
      </w:r>
      <w:r w:rsidRPr="00846E9B">
        <w:rPr>
          <w:b/>
          <w:vertAlign w:val="superscript"/>
        </w:rPr>
        <w:t>rd</w:t>
      </w:r>
      <w:r>
        <w:rPr>
          <w:b/>
        </w:rPr>
        <w:t>-Year</w:t>
      </w:r>
      <w:r w:rsidR="00342652" w:rsidRPr="00AB6BBA">
        <w:rPr>
          <w:b/>
        </w:rPr>
        <w:t xml:space="preserve"> Review Timeline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2070"/>
        <w:gridCol w:w="4468"/>
      </w:tblGrid>
      <w:tr w:rsidR="00C9526F" w:rsidRPr="00AB6BBA" w:rsidTr="00C9526F">
        <w:trPr>
          <w:jc w:val="center"/>
        </w:trPr>
        <w:tc>
          <w:tcPr>
            <w:tcW w:w="3235" w:type="dxa"/>
          </w:tcPr>
          <w:p w:rsidR="00342652" w:rsidRPr="00AB6BBA" w:rsidRDefault="00342652" w:rsidP="001414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070" w:type="dxa"/>
          </w:tcPr>
          <w:p w:rsidR="00342652" w:rsidRPr="00AB6BBA" w:rsidRDefault="00342652" w:rsidP="009310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AB6BBA">
              <w:rPr>
                <w:rFonts w:ascii="Calibri" w:eastAsia="Times New Roman" w:hAnsi="Calibri" w:cs="Arial"/>
                <w:b/>
                <w:bCs/>
              </w:rPr>
              <w:t>Responsible Party</w:t>
            </w:r>
          </w:p>
        </w:tc>
        <w:tc>
          <w:tcPr>
            <w:tcW w:w="4468" w:type="dxa"/>
          </w:tcPr>
          <w:p w:rsidR="00342652" w:rsidRPr="00AB6BBA" w:rsidRDefault="00342652" w:rsidP="0034265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AB6BBA">
              <w:rPr>
                <w:rFonts w:ascii="Calibri" w:eastAsia="Times New Roman" w:hAnsi="Calibri" w:cs="Arial"/>
                <w:b/>
                <w:bCs/>
              </w:rPr>
              <w:t xml:space="preserve">Due Date </w:t>
            </w:r>
          </w:p>
        </w:tc>
      </w:tr>
      <w:tr w:rsidR="00C9526F" w:rsidRPr="00AB6BBA" w:rsidTr="00C9526F">
        <w:trPr>
          <w:jc w:val="center"/>
        </w:trPr>
        <w:tc>
          <w:tcPr>
            <w:tcW w:w="3235" w:type="dxa"/>
          </w:tcPr>
          <w:p w:rsidR="0014144C" w:rsidRPr="00AB6BBA" w:rsidRDefault="00846E9B" w:rsidP="00846E9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PROT </w:t>
            </w:r>
            <w:r w:rsidR="00C9526F">
              <w:rPr>
                <w:rFonts w:ascii="Calibri" w:eastAsia="Times New Roman" w:hAnsi="Calibri" w:cs="Arial"/>
              </w:rPr>
              <w:t>review</w:t>
            </w:r>
          </w:p>
        </w:tc>
        <w:tc>
          <w:tcPr>
            <w:tcW w:w="2070" w:type="dxa"/>
          </w:tcPr>
          <w:p w:rsidR="0014144C" w:rsidRPr="00AB6BBA" w:rsidRDefault="0014144C" w:rsidP="00846E9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Assistant Professor</w:t>
            </w:r>
            <w:r w:rsidR="00C9526F">
              <w:rPr>
                <w:rFonts w:ascii="Calibri" w:eastAsia="Times New Roman" w:hAnsi="Calibri" w:cs="Arial"/>
              </w:rPr>
              <w:t xml:space="preserve"> coordinates with PROT Chair</w:t>
            </w:r>
          </w:p>
        </w:tc>
        <w:tc>
          <w:tcPr>
            <w:tcW w:w="4468" w:type="dxa"/>
          </w:tcPr>
          <w:p w:rsidR="0014144C" w:rsidRDefault="00846E9B" w:rsidP="00846E9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Spring of 2</w:t>
            </w:r>
            <w:r w:rsidRPr="00846E9B">
              <w:rPr>
                <w:rFonts w:ascii="Calibri" w:eastAsia="Times New Roman" w:hAnsi="Calibri" w:cs="Arial"/>
                <w:vertAlign w:val="superscript"/>
              </w:rPr>
              <w:t>nd</w:t>
            </w:r>
            <w:r>
              <w:rPr>
                <w:rFonts w:ascii="Calibri" w:eastAsia="Times New Roman" w:hAnsi="Calibri" w:cs="Arial"/>
              </w:rPr>
              <w:t xml:space="preserve"> year or fall of 3</w:t>
            </w:r>
            <w:r w:rsidRPr="00846E9B">
              <w:rPr>
                <w:rFonts w:ascii="Calibri" w:eastAsia="Times New Roman" w:hAnsi="Calibri" w:cs="Arial"/>
                <w:vertAlign w:val="superscript"/>
              </w:rPr>
              <w:t>rd</w:t>
            </w:r>
            <w:r>
              <w:rPr>
                <w:rFonts w:ascii="Calibri" w:eastAsia="Times New Roman" w:hAnsi="Calibri" w:cs="Arial"/>
              </w:rPr>
              <w:t xml:space="preserve"> year.</w:t>
            </w:r>
          </w:p>
        </w:tc>
      </w:tr>
      <w:tr w:rsidR="00C9526F" w:rsidRPr="00AB6BBA" w:rsidTr="00C9526F">
        <w:trPr>
          <w:jc w:val="center"/>
        </w:trPr>
        <w:tc>
          <w:tcPr>
            <w:tcW w:w="3235" w:type="dxa"/>
          </w:tcPr>
          <w:p w:rsidR="00F05521" w:rsidRPr="00AB6BBA" w:rsidRDefault="00F05521" w:rsidP="00F0552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PROT letter</w:t>
            </w:r>
          </w:p>
        </w:tc>
        <w:tc>
          <w:tcPr>
            <w:tcW w:w="2070" w:type="dxa"/>
          </w:tcPr>
          <w:p w:rsidR="00F05521" w:rsidRPr="00AB6BBA" w:rsidRDefault="00F05521" w:rsidP="00F0552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AB6BBA">
              <w:rPr>
                <w:rFonts w:ascii="Calibri" w:eastAsia="Times New Roman" w:hAnsi="Calibri" w:cs="Arial"/>
              </w:rPr>
              <w:t>Peer Review Team</w:t>
            </w:r>
          </w:p>
        </w:tc>
        <w:tc>
          <w:tcPr>
            <w:tcW w:w="4468" w:type="dxa"/>
          </w:tcPr>
          <w:p w:rsidR="00F05521" w:rsidRPr="00AB6BBA" w:rsidRDefault="00846E9B" w:rsidP="00846E9B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Completed by February 1</w:t>
            </w:r>
            <w:r w:rsidRPr="00846E9B">
              <w:rPr>
                <w:rFonts w:ascii="Calibri" w:eastAsia="Times New Roman" w:hAnsi="Calibri" w:cs="Arial"/>
                <w:vertAlign w:val="superscript"/>
              </w:rPr>
              <w:t>st</w:t>
            </w:r>
            <w:r>
              <w:rPr>
                <w:rFonts w:ascii="Calibri" w:eastAsia="Times New Roman" w:hAnsi="Calibri" w:cs="Arial"/>
              </w:rPr>
              <w:t xml:space="preserve"> of 3</w:t>
            </w:r>
            <w:r w:rsidRPr="00846E9B">
              <w:rPr>
                <w:rFonts w:ascii="Calibri" w:eastAsia="Times New Roman" w:hAnsi="Calibri" w:cs="Arial"/>
                <w:vertAlign w:val="superscript"/>
              </w:rPr>
              <w:t>rd</w:t>
            </w:r>
            <w:r>
              <w:rPr>
                <w:rFonts w:ascii="Calibri" w:eastAsia="Times New Roman" w:hAnsi="Calibri" w:cs="Arial"/>
              </w:rPr>
              <w:t xml:space="preserve"> year.</w:t>
            </w:r>
          </w:p>
        </w:tc>
      </w:tr>
      <w:tr w:rsidR="00C9526F" w:rsidRPr="00AB6BBA" w:rsidTr="00C9526F">
        <w:trPr>
          <w:jc w:val="center"/>
        </w:trPr>
        <w:tc>
          <w:tcPr>
            <w:tcW w:w="3235" w:type="dxa"/>
          </w:tcPr>
          <w:p w:rsidR="00F05521" w:rsidRPr="00AB6BBA" w:rsidRDefault="00F05521" w:rsidP="00F0552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AB6BBA">
              <w:rPr>
                <w:rFonts w:ascii="Calibri" w:eastAsia="Times New Roman" w:hAnsi="Calibri" w:cs="Arial"/>
              </w:rPr>
              <w:t>Dossier</w:t>
            </w:r>
            <w:r w:rsidR="00846E9B">
              <w:rPr>
                <w:rFonts w:ascii="Calibri" w:eastAsia="Times New Roman" w:hAnsi="Calibri" w:cs="Arial"/>
              </w:rPr>
              <w:t xml:space="preserve"> (P&amp;T Vita, Candidate Statement, 3 pieces of research)</w:t>
            </w:r>
            <w:r w:rsidR="00C9526F">
              <w:rPr>
                <w:rFonts w:ascii="Calibri" w:eastAsia="Times New Roman" w:hAnsi="Calibri" w:cs="Arial"/>
              </w:rPr>
              <w:t>. Submit to Noelle.</w:t>
            </w:r>
          </w:p>
        </w:tc>
        <w:tc>
          <w:tcPr>
            <w:tcW w:w="2070" w:type="dxa"/>
          </w:tcPr>
          <w:p w:rsidR="00F05521" w:rsidRPr="00AB6BBA" w:rsidRDefault="00F05521" w:rsidP="00F0552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AB6BBA">
              <w:rPr>
                <w:rFonts w:ascii="Calibri" w:eastAsia="Times New Roman" w:hAnsi="Calibri" w:cs="Arial"/>
              </w:rPr>
              <w:t>Assistant Professor</w:t>
            </w:r>
            <w:r w:rsidR="00B467BE">
              <w:rPr>
                <w:rFonts w:ascii="Calibri" w:eastAsia="Times New Roman" w:hAnsi="Calibri" w:cs="Arial"/>
              </w:rPr>
              <w:t xml:space="preserve"> and Noelle.</w:t>
            </w:r>
          </w:p>
        </w:tc>
        <w:tc>
          <w:tcPr>
            <w:tcW w:w="4468" w:type="dxa"/>
          </w:tcPr>
          <w:p w:rsidR="00F05521" w:rsidRPr="00AB6BBA" w:rsidRDefault="00846E9B" w:rsidP="00C9526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February 1</w:t>
            </w:r>
            <w:r w:rsidRPr="00846E9B">
              <w:rPr>
                <w:rFonts w:ascii="Calibri" w:eastAsia="Times New Roman" w:hAnsi="Calibri" w:cs="Arial"/>
                <w:vertAlign w:val="superscript"/>
              </w:rPr>
              <w:t>st</w:t>
            </w:r>
            <w:r>
              <w:rPr>
                <w:rFonts w:ascii="Calibri" w:eastAsia="Times New Roman" w:hAnsi="Calibri" w:cs="Arial"/>
              </w:rPr>
              <w:t xml:space="preserve"> of 3</w:t>
            </w:r>
            <w:r w:rsidRPr="00846E9B">
              <w:rPr>
                <w:rFonts w:ascii="Calibri" w:eastAsia="Times New Roman" w:hAnsi="Calibri" w:cs="Arial"/>
                <w:vertAlign w:val="superscript"/>
              </w:rPr>
              <w:t>rd</w:t>
            </w:r>
            <w:r w:rsidR="00C9526F">
              <w:rPr>
                <w:rFonts w:ascii="Calibri" w:eastAsia="Times New Roman" w:hAnsi="Calibri" w:cs="Arial"/>
              </w:rPr>
              <w:t xml:space="preserve"> year (Noelle gets completed dossier to P&amp;T Committee by February 15</w:t>
            </w:r>
            <w:r w:rsidR="00C9526F" w:rsidRPr="00C9526F">
              <w:rPr>
                <w:rFonts w:ascii="Calibri" w:eastAsia="Times New Roman" w:hAnsi="Calibri" w:cs="Arial"/>
                <w:vertAlign w:val="superscript"/>
              </w:rPr>
              <w:t>th</w:t>
            </w:r>
            <w:r w:rsidR="00C9526F">
              <w:rPr>
                <w:rFonts w:ascii="Calibri" w:eastAsia="Times New Roman" w:hAnsi="Calibri" w:cs="Arial"/>
              </w:rPr>
              <w:t>).</w:t>
            </w:r>
          </w:p>
        </w:tc>
      </w:tr>
      <w:tr w:rsidR="00C9526F" w:rsidRPr="00AB6BBA" w:rsidTr="00C9526F">
        <w:trPr>
          <w:jc w:val="center"/>
        </w:trPr>
        <w:tc>
          <w:tcPr>
            <w:tcW w:w="3235" w:type="dxa"/>
          </w:tcPr>
          <w:p w:rsidR="00F05521" w:rsidRPr="00AB6BBA" w:rsidRDefault="00846E9B" w:rsidP="00F0552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College P&amp;T letter</w:t>
            </w:r>
          </w:p>
        </w:tc>
        <w:tc>
          <w:tcPr>
            <w:tcW w:w="2070" w:type="dxa"/>
          </w:tcPr>
          <w:p w:rsidR="00F05521" w:rsidRPr="00AB6BBA" w:rsidRDefault="00846E9B" w:rsidP="00F0552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College P&amp;T Committee</w:t>
            </w:r>
          </w:p>
        </w:tc>
        <w:tc>
          <w:tcPr>
            <w:tcW w:w="4468" w:type="dxa"/>
          </w:tcPr>
          <w:p w:rsidR="00F05521" w:rsidRDefault="00846E9B" w:rsidP="00F0552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April 1</w:t>
            </w:r>
            <w:r w:rsidRPr="00846E9B">
              <w:rPr>
                <w:rFonts w:ascii="Calibri" w:eastAsia="Times New Roman" w:hAnsi="Calibri" w:cs="Arial"/>
                <w:vertAlign w:val="superscript"/>
              </w:rPr>
              <w:t>st</w:t>
            </w:r>
            <w:r>
              <w:rPr>
                <w:rFonts w:ascii="Calibri" w:eastAsia="Times New Roman" w:hAnsi="Calibri" w:cs="Arial"/>
              </w:rPr>
              <w:t xml:space="preserve"> of 3</w:t>
            </w:r>
            <w:r w:rsidRPr="00846E9B">
              <w:rPr>
                <w:rFonts w:ascii="Calibri" w:eastAsia="Times New Roman" w:hAnsi="Calibri" w:cs="Arial"/>
                <w:vertAlign w:val="superscript"/>
              </w:rPr>
              <w:t>rd</w:t>
            </w:r>
            <w:r>
              <w:rPr>
                <w:rFonts w:ascii="Calibri" w:eastAsia="Times New Roman" w:hAnsi="Calibri" w:cs="Arial"/>
              </w:rPr>
              <w:t xml:space="preserve"> year.</w:t>
            </w:r>
          </w:p>
        </w:tc>
      </w:tr>
      <w:tr w:rsidR="00C9526F" w:rsidRPr="00AB6BBA" w:rsidTr="00C9526F">
        <w:trPr>
          <w:jc w:val="center"/>
        </w:trPr>
        <w:tc>
          <w:tcPr>
            <w:tcW w:w="3235" w:type="dxa"/>
          </w:tcPr>
          <w:p w:rsidR="00F05521" w:rsidRDefault="00F05521" w:rsidP="00F0552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Supervisor letter</w:t>
            </w:r>
          </w:p>
        </w:tc>
        <w:tc>
          <w:tcPr>
            <w:tcW w:w="2070" w:type="dxa"/>
          </w:tcPr>
          <w:p w:rsidR="00F05521" w:rsidRPr="00AB6BBA" w:rsidRDefault="00F05521" w:rsidP="00F0552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School Head</w:t>
            </w:r>
          </w:p>
        </w:tc>
        <w:tc>
          <w:tcPr>
            <w:tcW w:w="4468" w:type="dxa"/>
          </w:tcPr>
          <w:p w:rsidR="00F05521" w:rsidRDefault="00846E9B" w:rsidP="00F0552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May 1</w:t>
            </w:r>
            <w:r w:rsidRPr="00846E9B">
              <w:rPr>
                <w:rFonts w:ascii="Calibri" w:eastAsia="Times New Roman" w:hAnsi="Calibri" w:cs="Arial"/>
                <w:vertAlign w:val="superscript"/>
              </w:rPr>
              <w:t>st</w:t>
            </w:r>
            <w:r>
              <w:rPr>
                <w:rFonts w:ascii="Calibri" w:eastAsia="Times New Roman" w:hAnsi="Calibri" w:cs="Arial"/>
              </w:rPr>
              <w:t xml:space="preserve"> of 3</w:t>
            </w:r>
            <w:r w:rsidRPr="00846E9B">
              <w:rPr>
                <w:rFonts w:ascii="Calibri" w:eastAsia="Times New Roman" w:hAnsi="Calibri" w:cs="Arial"/>
                <w:vertAlign w:val="superscript"/>
              </w:rPr>
              <w:t>rd</w:t>
            </w:r>
            <w:r>
              <w:rPr>
                <w:rFonts w:ascii="Calibri" w:eastAsia="Times New Roman" w:hAnsi="Calibri" w:cs="Arial"/>
              </w:rPr>
              <w:t xml:space="preserve"> year. </w:t>
            </w:r>
          </w:p>
        </w:tc>
      </w:tr>
      <w:tr w:rsidR="00C9526F" w:rsidRPr="00AB6BBA" w:rsidTr="00C9526F">
        <w:trPr>
          <w:jc w:val="center"/>
        </w:trPr>
        <w:tc>
          <w:tcPr>
            <w:tcW w:w="3235" w:type="dxa"/>
          </w:tcPr>
          <w:p w:rsidR="00F05521" w:rsidRPr="00AB6BBA" w:rsidRDefault="00F05521" w:rsidP="00F0552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Dean’s letter</w:t>
            </w:r>
            <w:r w:rsidR="00846E9B">
              <w:rPr>
                <w:rFonts w:ascii="Calibri" w:eastAsia="Times New Roman" w:hAnsi="Calibri" w:cs="Arial"/>
              </w:rPr>
              <w:t xml:space="preserve"> (optional)</w:t>
            </w:r>
          </w:p>
        </w:tc>
        <w:tc>
          <w:tcPr>
            <w:tcW w:w="2070" w:type="dxa"/>
          </w:tcPr>
          <w:p w:rsidR="00F05521" w:rsidRPr="00AB6BBA" w:rsidRDefault="00F05521" w:rsidP="00F0552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Dean</w:t>
            </w:r>
            <w:r w:rsidRPr="00AB6BBA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4468" w:type="dxa"/>
          </w:tcPr>
          <w:p w:rsidR="00F05521" w:rsidRPr="00AB6BBA" w:rsidRDefault="00846E9B" w:rsidP="00F0552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May 15</w:t>
            </w:r>
            <w:r w:rsidRPr="00846E9B">
              <w:rPr>
                <w:rFonts w:ascii="Calibri" w:eastAsia="Times New Roman" w:hAnsi="Calibri" w:cs="Arial"/>
                <w:vertAlign w:val="superscript"/>
              </w:rPr>
              <w:t>th</w:t>
            </w:r>
            <w:r>
              <w:rPr>
                <w:rFonts w:ascii="Calibri" w:eastAsia="Times New Roman" w:hAnsi="Calibri" w:cs="Arial"/>
              </w:rPr>
              <w:t xml:space="preserve"> of 3</w:t>
            </w:r>
            <w:r w:rsidRPr="00846E9B">
              <w:rPr>
                <w:rFonts w:ascii="Calibri" w:eastAsia="Times New Roman" w:hAnsi="Calibri" w:cs="Arial"/>
                <w:vertAlign w:val="superscript"/>
              </w:rPr>
              <w:t>rd</w:t>
            </w:r>
            <w:r>
              <w:rPr>
                <w:rFonts w:ascii="Calibri" w:eastAsia="Times New Roman" w:hAnsi="Calibri" w:cs="Arial"/>
              </w:rPr>
              <w:t xml:space="preserve"> year.</w:t>
            </w:r>
          </w:p>
        </w:tc>
      </w:tr>
      <w:tr w:rsidR="00C9526F" w:rsidRPr="00AB6BBA" w:rsidTr="00C9526F">
        <w:trPr>
          <w:jc w:val="center"/>
        </w:trPr>
        <w:tc>
          <w:tcPr>
            <w:tcW w:w="3235" w:type="dxa"/>
          </w:tcPr>
          <w:p w:rsidR="00F05521" w:rsidRPr="00AB6BBA" w:rsidRDefault="00C9526F" w:rsidP="00C9526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Outcome meeting with c</w:t>
            </w:r>
            <w:r w:rsidR="00846E9B">
              <w:rPr>
                <w:rFonts w:ascii="Calibri" w:eastAsia="Times New Roman" w:hAnsi="Calibri" w:cs="Arial"/>
              </w:rPr>
              <w:t xml:space="preserve">andidate (NOTE: this meeting replaces the annual review meeting only – the assistant professor still needs to complete the annual review). </w:t>
            </w:r>
          </w:p>
        </w:tc>
        <w:tc>
          <w:tcPr>
            <w:tcW w:w="2070" w:type="dxa"/>
          </w:tcPr>
          <w:p w:rsidR="00F05521" w:rsidRPr="00AB6BBA" w:rsidRDefault="00846E9B" w:rsidP="00F0552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Dean, ADR and School Head</w:t>
            </w:r>
            <w:r w:rsidR="00F05521" w:rsidRPr="00AB6BBA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4468" w:type="dxa"/>
          </w:tcPr>
          <w:p w:rsidR="00F05521" w:rsidRPr="00AB6BBA" w:rsidRDefault="00F05521" w:rsidP="00F0552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Late </w:t>
            </w:r>
            <w:r w:rsidRPr="00AB6BBA">
              <w:rPr>
                <w:rFonts w:ascii="Calibri" w:eastAsia="Times New Roman" w:hAnsi="Calibri" w:cs="Arial"/>
              </w:rPr>
              <w:t>May</w:t>
            </w:r>
            <w:r w:rsidR="00656EEA">
              <w:rPr>
                <w:rFonts w:ascii="Calibri" w:eastAsia="Times New Roman" w:hAnsi="Calibri" w:cs="Arial"/>
              </w:rPr>
              <w:t xml:space="preserve"> of 3</w:t>
            </w:r>
            <w:r w:rsidR="00656EEA" w:rsidRPr="00656EEA">
              <w:rPr>
                <w:rFonts w:ascii="Calibri" w:eastAsia="Times New Roman" w:hAnsi="Calibri" w:cs="Arial"/>
                <w:vertAlign w:val="superscript"/>
              </w:rPr>
              <w:t>rd</w:t>
            </w:r>
            <w:r w:rsidR="00656EEA">
              <w:rPr>
                <w:rFonts w:ascii="Calibri" w:eastAsia="Times New Roman" w:hAnsi="Calibri" w:cs="Arial"/>
              </w:rPr>
              <w:t xml:space="preserve"> year.</w:t>
            </w:r>
          </w:p>
        </w:tc>
      </w:tr>
    </w:tbl>
    <w:p w:rsidR="00342652" w:rsidRDefault="00342652" w:rsidP="00342652">
      <w:pPr>
        <w:spacing w:after="0"/>
        <w:rPr>
          <w:b/>
        </w:rPr>
      </w:pPr>
    </w:p>
    <w:p w:rsidR="009D6D71" w:rsidRDefault="009D6D71" w:rsidP="009D6D71">
      <w:pPr>
        <w:spacing w:after="0" w:line="240" w:lineRule="auto"/>
      </w:pPr>
      <w:r w:rsidRPr="009D6D71">
        <w:rPr>
          <w:b/>
        </w:rPr>
        <w:t>University Guidelines for Promotion to Associate Professor</w:t>
      </w:r>
    </w:p>
    <w:p w:rsidR="009D6D71" w:rsidRDefault="009D6D71" w:rsidP="009D6D71">
      <w:pPr>
        <w:spacing w:after="0" w:line="240" w:lineRule="auto"/>
      </w:pPr>
    </w:p>
    <w:p w:rsidR="009D6D71" w:rsidRDefault="009D6D71" w:rsidP="009D6D71">
      <w:pPr>
        <w:spacing w:after="0" w:line="240" w:lineRule="auto"/>
      </w:pPr>
      <w:r w:rsidRPr="009D6D71">
        <w:t>Promotion to the rank of Associate Professor is based upon evidence of the candidate's:</w:t>
      </w:r>
    </w:p>
    <w:p w:rsidR="009D6D71" w:rsidRDefault="00662642" w:rsidP="009D6D71">
      <w:pPr>
        <w:pStyle w:val="ListParagraph"/>
        <w:numPr>
          <w:ilvl w:val="0"/>
          <w:numId w:val="6"/>
        </w:numPr>
        <w:spacing w:after="0" w:line="240" w:lineRule="auto"/>
      </w:pPr>
      <w:r w:rsidRPr="009D6D71">
        <w:t>demonstrated effectiveness in teaching, advising, ser</w:t>
      </w:r>
      <w:r w:rsidR="009D6D71">
        <w:t>vice, and other assigned duties</w:t>
      </w:r>
    </w:p>
    <w:p w:rsidR="009D6D71" w:rsidRDefault="00662642" w:rsidP="00ED118A">
      <w:pPr>
        <w:pStyle w:val="ListParagraph"/>
        <w:numPr>
          <w:ilvl w:val="0"/>
          <w:numId w:val="6"/>
        </w:numPr>
        <w:tabs>
          <w:tab w:val="num" w:pos="1440"/>
        </w:tabs>
        <w:spacing w:after="0" w:line="240" w:lineRule="auto"/>
      </w:pPr>
      <w:r w:rsidRPr="009D6D71">
        <w:t>achievement in scholarship</w:t>
      </w:r>
      <w:r w:rsidR="009D6D71">
        <w:t xml:space="preserve"> and creative activity that </w:t>
      </w:r>
      <w:r w:rsidRPr="009D6D71">
        <w:t>establishes the individual as a significant contributor to the field or profession, with potential for distinction</w:t>
      </w:r>
      <w:r w:rsidR="009D6D71">
        <w:t xml:space="preserve">, and </w:t>
      </w:r>
    </w:p>
    <w:p w:rsidR="00115C20" w:rsidRPr="009D6D71" w:rsidRDefault="00662642" w:rsidP="00ED118A">
      <w:pPr>
        <w:pStyle w:val="ListParagraph"/>
        <w:numPr>
          <w:ilvl w:val="0"/>
          <w:numId w:val="6"/>
        </w:numPr>
        <w:tabs>
          <w:tab w:val="num" w:pos="1440"/>
        </w:tabs>
        <w:spacing w:after="0" w:line="240" w:lineRule="auto"/>
      </w:pPr>
      <w:proofErr w:type="gramStart"/>
      <w:r w:rsidRPr="009D6D71">
        <w:t>appropriate</w:t>
      </w:r>
      <w:proofErr w:type="gramEnd"/>
      <w:r w:rsidRPr="009D6D71">
        <w:t xml:space="preserve"> balance of institutional and professional service.</w:t>
      </w:r>
    </w:p>
    <w:p w:rsidR="009D6D71" w:rsidRDefault="009D6D71" w:rsidP="009D6D71">
      <w:pPr>
        <w:spacing w:after="0" w:line="240" w:lineRule="auto"/>
      </w:pPr>
    </w:p>
    <w:p w:rsidR="00115C20" w:rsidRDefault="00662642" w:rsidP="009D6D71">
      <w:pPr>
        <w:spacing w:after="0" w:line="240" w:lineRule="auto"/>
      </w:pPr>
      <w:r w:rsidRPr="009D6D71">
        <w:t>60% of the tenure clock has passed by the end of the Spring Term – 2 years until packet is submitted (typically July 1</w:t>
      </w:r>
      <w:r w:rsidRPr="009D6D71">
        <w:rPr>
          <w:vertAlign w:val="superscript"/>
        </w:rPr>
        <w:t>st</w:t>
      </w:r>
      <w:r w:rsidRPr="009D6D71">
        <w:t xml:space="preserve"> after the 5</w:t>
      </w:r>
      <w:r w:rsidRPr="009D6D71">
        <w:rPr>
          <w:vertAlign w:val="superscript"/>
        </w:rPr>
        <w:t>th</w:t>
      </w:r>
      <w:r w:rsidRPr="009D6D71">
        <w:t xml:space="preserve"> year unless an extension has been granted).</w:t>
      </w:r>
    </w:p>
    <w:p w:rsidR="009D6D71" w:rsidRDefault="009D6D71" w:rsidP="009D6D71">
      <w:pPr>
        <w:spacing w:after="0" w:line="240" w:lineRule="auto"/>
      </w:pPr>
    </w:p>
    <w:p w:rsidR="009D6D71" w:rsidRPr="002315BD" w:rsidRDefault="009D6D71" w:rsidP="009D6D71">
      <w:pPr>
        <w:spacing w:after="0" w:line="240" w:lineRule="auto"/>
        <w:rPr>
          <w:b/>
        </w:rPr>
      </w:pPr>
      <w:r w:rsidRPr="002315BD">
        <w:rPr>
          <w:b/>
        </w:rPr>
        <w:t>Outcomes</w:t>
      </w:r>
    </w:p>
    <w:p w:rsidR="009D6D71" w:rsidRDefault="009D6D71" w:rsidP="009D6D71">
      <w:pPr>
        <w:spacing w:after="0" w:line="240" w:lineRule="auto"/>
      </w:pPr>
    </w:p>
    <w:p w:rsidR="009D6D71" w:rsidRDefault="009D6D71" w:rsidP="009D6D7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Everything is on track and there are positive outcomes in all areas. </w:t>
      </w:r>
    </w:p>
    <w:p w:rsidR="009D6D71" w:rsidRDefault="009D6D71" w:rsidP="009D6D71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Good publication(s), R&amp;Rs/strong manuscripts under review, </w:t>
      </w:r>
      <w:r w:rsidR="00911E70">
        <w:t>solid</w:t>
      </w:r>
      <w:r w:rsidR="002315BD">
        <w:t>/</w:t>
      </w:r>
      <w:r w:rsidR="00911E70">
        <w:t>good</w:t>
      </w:r>
      <w:r>
        <w:t xml:space="preserve"> teaching evaluations.  Some Institutional (College/Discipline) service and evidence of professional service.</w:t>
      </w:r>
    </w:p>
    <w:p w:rsidR="002315BD" w:rsidRDefault="002315BD" w:rsidP="002315BD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This outcome will come with an encouragement to ensure that the candidate maintains momentum and </w:t>
      </w:r>
      <w:r w:rsidR="00911E70">
        <w:t xml:space="preserve">a reminder </w:t>
      </w:r>
      <w:r>
        <w:t xml:space="preserve">that a premier publication is required (if the candidate has not hit one yet). </w:t>
      </w:r>
    </w:p>
    <w:p w:rsidR="009D6D71" w:rsidRDefault="009D6D71" w:rsidP="009D6D71">
      <w:pPr>
        <w:pStyle w:val="ListParagraph"/>
        <w:numPr>
          <w:ilvl w:val="0"/>
          <w:numId w:val="7"/>
        </w:numPr>
        <w:spacing w:after="0" w:line="240" w:lineRule="auto"/>
      </w:pPr>
      <w:r>
        <w:t>Making process with a caveat or two.</w:t>
      </w:r>
    </w:p>
    <w:p w:rsidR="009D6D71" w:rsidRDefault="009D6D71" w:rsidP="009D6D71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Research is moving forward and there is reason for optimism </w:t>
      </w:r>
      <w:r w:rsidR="002315BD">
        <w:t xml:space="preserve">in research </w:t>
      </w:r>
      <w:r>
        <w:t>(such as R&amp;Rs at strong journals</w:t>
      </w:r>
      <w:r w:rsidR="002315BD">
        <w:t xml:space="preserve"> and other research submitted with additional work nearing submission)</w:t>
      </w:r>
      <w:r>
        <w:t>.  Solid teaching evaluations.  Some service.</w:t>
      </w:r>
    </w:p>
    <w:p w:rsidR="002315BD" w:rsidRDefault="002315BD" w:rsidP="002315BD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This outcome will come with a strong warning concerning the deficiencies.  For teaching issues, the candidate should be directed to Inara Scott (Assistant Dean for Teaching and Learning Excellence) for mentoring. </w:t>
      </w:r>
      <w:r w:rsidR="00911E70">
        <w:t xml:space="preserve"> Candidate will be given a reminder that a premier publication is required for support from the College for P&amp;T. </w:t>
      </w:r>
    </w:p>
    <w:p w:rsidR="002315BD" w:rsidRDefault="00911E70" w:rsidP="002315B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Serious </w:t>
      </w:r>
      <w:r w:rsidR="00F2378C">
        <w:t>Concerns – leading to continuing review OR a terminal contract.</w:t>
      </w:r>
    </w:p>
    <w:p w:rsidR="002315BD" w:rsidRDefault="002315BD" w:rsidP="002315BD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Serious deficiency in research and/or teaching such that the candidate is placed on </w:t>
      </w:r>
      <w:r w:rsidR="00911E70">
        <w:t>continuing review</w:t>
      </w:r>
      <w:r>
        <w:t xml:space="preserve"> (no pay raises </w:t>
      </w:r>
      <w:r w:rsidR="00911E70">
        <w:t xml:space="preserve">while on continuing review </w:t>
      </w:r>
      <w:r>
        <w:t xml:space="preserve">and the candidate will have to </w:t>
      </w:r>
      <w:r w:rsidR="00911E70">
        <w:t>go through a formal review each year by College leadership (School Head/ADR/Dean) while on continuing review</w:t>
      </w:r>
      <w:r w:rsidR="00231106">
        <w:t>)</w:t>
      </w:r>
      <w:r w:rsidR="00911E70">
        <w:t>.  If deficiencies are too severe</w:t>
      </w:r>
      <w:r w:rsidR="0066578B">
        <w:t xml:space="preserve"> and tenure is highly doubtful</w:t>
      </w:r>
      <w:r w:rsidR="00911E70">
        <w:t>, the candidate will be given a terminal contract (one-year to look for another position).</w:t>
      </w:r>
    </w:p>
    <w:p w:rsidR="00911E70" w:rsidRDefault="00911E70" w:rsidP="00911E70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Two things will come into play with the choice of outcomes when there are serious concerns: </w:t>
      </w:r>
    </w:p>
    <w:p w:rsidR="00911E70" w:rsidRDefault="00911E70" w:rsidP="00911E70">
      <w:pPr>
        <w:pStyle w:val="ListParagraph"/>
        <w:numPr>
          <w:ilvl w:val="3"/>
          <w:numId w:val="7"/>
        </w:numPr>
        <w:spacing w:after="0" w:line="240" w:lineRule="auto"/>
      </w:pPr>
      <w:r>
        <w:t>Is the candidate’s pipeline strong enough for a potentially favorable P&amp;T outcome if the manuscripts were to hit?</w:t>
      </w:r>
    </w:p>
    <w:p w:rsidR="00911E70" w:rsidRPr="009D6D71" w:rsidRDefault="00911E70" w:rsidP="00911E70">
      <w:pPr>
        <w:pStyle w:val="ListParagraph"/>
        <w:numPr>
          <w:ilvl w:val="3"/>
          <w:numId w:val="7"/>
        </w:numPr>
        <w:spacing w:after="0" w:line="240" w:lineRule="auto"/>
      </w:pPr>
      <w:r>
        <w:t>Is there enough time on the clock for the candidate to be successful?</w:t>
      </w:r>
      <w:bookmarkStart w:id="0" w:name="_GoBack"/>
      <w:bookmarkEnd w:id="0"/>
    </w:p>
    <w:p w:rsidR="00961255" w:rsidRDefault="00961255" w:rsidP="009D6D71">
      <w:pPr>
        <w:spacing w:after="0" w:line="240" w:lineRule="auto"/>
      </w:pPr>
    </w:p>
    <w:sectPr w:rsidR="009612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2C" w:rsidRDefault="00830D2C" w:rsidP="00830D2C">
      <w:pPr>
        <w:spacing w:after="0" w:line="240" w:lineRule="auto"/>
      </w:pPr>
      <w:r>
        <w:separator/>
      </w:r>
    </w:p>
  </w:endnote>
  <w:endnote w:type="continuationSeparator" w:id="0">
    <w:p w:rsidR="00830D2C" w:rsidRDefault="00830D2C" w:rsidP="0083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295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D2C" w:rsidRDefault="00830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1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D2C" w:rsidRDefault="00830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2C" w:rsidRDefault="00830D2C" w:rsidP="00830D2C">
      <w:pPr>
        <w:spacing w:after="0" w:line="240" w:lineRule="auto"/>
      </w:pPr>
      <w:r>
        <w:separator/>
      </w:r>
    </w:p>
  </w:footnote>
  <w:footnote w:type="continuationSeparator" w:id="0">
    <w:p w:rsidR="00830D2C" w:rsidRDefault="00830D2C" w:rsidP="0083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3A" w:rsidRDefault="0094263A" w:rsidP="0094263A">
    <w:pPr>
      <w:pStyle w:val="Header"/>
      <w:jc w:val="right"/>
    </w:pPr>
    <w:r>
      <w:t>16 April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6A4B"/>
    <w:multiLevelType w:val="hybridMultilevel"/>
    <w:tmpl w:val="28709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00BA"/>
    <w:multiLevelType w:val="hybridMultilevel"/>
    <w:tmpl w:val="4A04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7A92"/>
    <w:multiLevelType w:val="hybridMultilevel"/>
    <w:tmpl w:val="EFB4702C"/>
    <w:lvl w:ilvl="0" w:tplc="CD167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2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0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E3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20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8E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A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F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CE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B96B69"/>
    <w:multiLevelType w:val="hybridMultilevel"/>
    <w:tmpl w:val="DAD8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5085"/>
    <w:multiLevelType w:val="hybridMultilevel"/>
    <w:tmpl w:val="79D456B4"/>
    <w:lvl w:ilvl="0" w:tplc="C39E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206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A5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C3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22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8E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D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1B71F4"/>
    <w:multiLevelType w:val="hybridMultilevel"/>
    <w:tmpl w:val="50D0D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A5F4A"/>
    <w:multiLevelType w:val="hybridMultilevel"/>
    <w:tmpl w:val="C89CBEBA"/>
    <w:lvl w:ilvl="0" w:tplc="95962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8E5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8B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C7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02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CC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EB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2B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C3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52"/>
    <w:rsid w:val="00115C20"/>
    <w:rsid w:val="0014144C"/>
    <w:rsid w:val="00231106"/>
    <w:rsid w:val="002315BD"/>
    <w:rsid w:val="00324D1F"/>
    <w:rsid w:val="00342652"/>
    <w:rsid w:val="00580685"/>
    <w:rsid w:val="00654AC3"/>
    <w:rsid w:val="00656EEA"/>
    <w:rsid w:val="00662642"/>
    <w:rsid w:val="0066578B"/>
    <w:rsid w:val="00830D2C"/>
    <w:rsid w:val="00846E9B"/>
    <w:rsid w:val="00911E70"/>
    <w:rsid w:val="0094263A"/>
    <w:rsid w:val="00961255"/>
    <w:rsid w:val="009D6D71"/>
    <w:rsid w:val="00A97DAF"/>
    <w:rsid w:val="00B24C12"/>
    <w:rsid w:val="00B467BE"/>
    <w:rsid w:val="00C9526F"/>
    <w:rsid w:val="00DD10F2"/>
    <w:rsid w:val="00E02B84"/>
    <w:rsid w:val="00EA491A"/>
    <w:rsid w:val="00ED447A"/>
    <w:rsid w:val="00F05521"/>
    <w:rsid w:val="00F2378C"/>
    <w:rsid w:val="00F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0E2E6-4CB8-46CA-9B90-96E63A56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2C"/>
  </w:style>
  <w:style w:type="paragraph" w:styleId="Footer">
    <w:name w:val="footer"/>
    <w:basedOn w:val="Normal"/>
    <w:link w:val="FooterChar"/>
    <w:uiPriority w:val="99"/>
    <w:unhideWhenUsed/>
    <w:rsid w:val="0083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2C"/>
  </w:style>
  <w:style w:type="paragraph" w:styleId="BalloonText">
    <w:name w:val="Balloon Text"/>
    <w:basedOn w:val="Normal"/>
    <w:link w:val="BalloonTextChar"/>
    <w:uiPriority w:val="99"/>
    <w:semiHidden/>
    <w:unhideWhenUsed/>
    <w:rsid w:val="0094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513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9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4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39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98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72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641</Words>
  <Characters>4063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Arthurs, Jonathan - COB</dc:creator>
  <cp:keywords/>
  <dc:description/>
  <cp:lastModifiedBy>Arthurs, Jonathan - COB</cp:lastModifiedBy>
  <cp:revision>5</cp:revision>
  <cp:lastPrinted>2019-04-16T15:56:00Z</cp:lastPrinted>
  <dcterms:created xsi:type="dcterms:W3CDTF">2019-04-16T00:42:00Z</dcterms:created>
  <dcterms:modified xsi:type="dcterms:W3CDTF">2019-04-16T18:15:00Z</dcterms:modified>
</cp:coreProperties>
</file>